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6312D" w:rsidRDefault="0046312D" w:rsidP="006F4CD7">
      <w:pPr>
        <w:widowControl w:val="0"/>
        <w:spacing w:line="480" w:lineRule="auto"/>
        <w:contextualSpacing/>
        <w:jc w:val="center"/>
        <w:rPr>
          <w:rFonts w:ascii="Times New Roman" w:hAnsi="Times New Roman" w:cs="Times New Roman"/>
          <w:sz w:val="24"/>
          <w:szCs w:val="24"/>
          <w:lang w:val="en-AU"/>
        </w:rPr>
      </w:pPr>
    </w:p>
    <w:p w:rsidR="0046312D" w:rsidRDefault="0046312D" w:rsidP="006F4CD7">
      <w:pPr>
        <w:widowControl w:val="0"/>
        <w:spacing w:line="480" w:lineRule="auto"/>
        <w:contextualSpacing/>
        <w:jc w:val="center"/>
        <w:rPr>
          <w:rFonts w:ascii="Times New Roman" w:hAnsi="Times New Roman" w:cs="Times New Roman"/>
          <w:sz w:val="24"/>
          <w:szCs w:val="24"/>
          <w:lang w:val="en-AU"/>
        </w:rPr>
      </w:pPr>
    </w:p>
    <w:p w:rsidR="0046312D" w:rsidRDefault="0046312D" w:rsidP="006F4CD7">
      <w:pPr>
        <w:widowControl w:val="0"/>
        <w:spacing w:line="480" w:lineRule="auto"/>
        <w:contextualSpacing/>
        <w:jc w:val="center"/>
        <w:rPr>
          <w:rFonts w:ascii="Times New Roman" w:hAnsi="Times New Roman" w:cs="Times New Roman"/>
          <w:sz w:val="24"/>
          <w:szCs w:val="24"/>
          <w:lang w:val="en-AU"/>
        </w:rPr>
      </w:pPr>
    </w:p>
    <w:p w:rsidR="0046312D" w:rsidRDefault="0046312D" w:rsidP="006F4CD7">
      <w:pPr>
        <w:widowControl w:val="0"/>
        <w:spacing w:line="480" w:lineRule="auto"/>
        <w:contextualSpacing/>
        <w:jc w:val="center"/>
        <w:rPr>
          <w:rFonts w:ascii="Times New Roman" w:hAnsi="Times New Roman" w:cs="Times New Roman"/>
          <w:sz w:val="24"/>
          <w:szCs w:val="24"/>
          <w:lang w:val="en-AU"/>
        </w:rPr>
      </w:pPr>
    </w:p>
    <w:p w:rsidR="006F4CD7" w:rsidRDefault="006F4CD7" w:rsidP="006F4CD7">
      <w:pPr>
        <w:widowControl w:val="0"/>
        <w:spacing w:line="480" w:lineRule="auto"/>
        <w:contextualSpacing/>
        <w:jc w:val="center"/>
        <w:rPr>
          <w:rFonts w:ascii="Times New Roman" w:hAnsi="Times New Roman" w:cs="Times New Roman"/>
          <w:sz w:val="24"/>
          <w:szCs w:val="24"/>
          <w:lang w:val="en-AU"/>
        </w:rPr>
      </w:pPr>
    </w:p>
    <w:p w:rsidR="006F4CD7" w:rsidRDefault="006F4CD7" w:rsidP="006F4CD7">
      <w:pPr>
        <w:widowControl w:val="0"/>
        <w:spacing w:line="480" w:lineRule="auto"/>
        <w:contextualSpacing/>
        <w:jc w:val="center"/>
        <w:rPr>
          <w:rFonts w:ascii="Times New Roman" w:hAnsi="Times New Roman" w:cs="Times New Roman"/>
          <w:sz w:val="24"/>
          <w:szCs w:val="24"/>
          <w:lang w:val="en-AU"/>
        </w:rPr>
      </w:pPr>
    </w:p>
    <w:p w:rsidR="006F4CD7" w:rsidRDefault="006F4CD7" w:rsidP="006F4CD7">
      <w:pPr>
        <w:widowControl w:val="0"/>
        <w:spacing w:line="480" w:lineRule="auto"/>
        <w:contextualSpacing/>
        <w:jc w:val="center"/>
        <w:rPr>
          <w:rFonts w:ascii="Times New Roman" w:hAnsi="Times New Roman" w:cs="Times New Roman"/>
          <w:sz w:val="24"/>
          <w:szCs w:val="24"/>
          <w:lang w:val="en-AU"/>
        </w:rPr>
      </w:pPr>
    </w:p>
    <w:p w:rsidR="006F4CD7" w:rsidRDefault="006F4CD7" w:rsidP="006F4CD7">
      <w:pPr>
        <w:widowControl w:val="0"/>
        <w:spacing w:line="480" w:lineRule="auto"/>
        <w:contextualSpacing/>
        <w:jc w:val="center"/>
        <w:rPr>
          <w:rFonts w:ascii="Times New Roman" w:hAnsi="Times New Roman" w:cs="Times New Roman"/>
          <w:sz w:val="24"/>
          <w:szCs w:val="24"/>
          <w:lang w:val="en-AU"/>
        </w:rPr>
      </w:pPr>
    </w:p>
    <w:p w:rsidR="006F4CD7" w:rsidRDefault="006F4CD7" w:rsidP="006F4CD7">
      <w:pPr>
        <w:widowControl w:val="0"/>
        <w:spacing w:line="480" w:lineRule="auto"/>
        <w:contextualSpacing/>
        <w:jc w:val="center"/>
        <w:rPr>
          <w:rFonts w:ascii="Times New Roman" w:hAnsi="Times New Roman" w:cs="Times New Roman"/>
          <w:sz w:val="24"/>
          <w:szCs w:val="24"/>
          <w:lang w:val="en-AU"/>
        </w:rPr>
      </w:pPr>
    </w:p>
    <w:p w:rsidR="006F4CD7" w:rsidRDefault="006F4CD7" w:rsidP="006F4CD7">
      <w:pPr>
        <w:widowControl w:val="0"/>
        <w:spacing w:line="480" w:lineRule="auto"/>
        <w:contextualSpacing/>
        <w:jc w:val="center"/>
        <w:rPr>
          <w:rFonts w:ascii="Times New Roman" w:hAnsi="Times New Roman" w:cs="Times New Roman"/>
          <w:sz w:val="24"/>
          <w:szCs w:val="24"/>
          <w:lang w:val="en-AU"/>
        </w:rPr>
      </w:pPr>
    </w:p>
    <w:p w:rsidR="006F4CD7" w:rsidRDefault="006F4CD7" w:rsidP="006F4CD7">
      <w:pPr>
        <w:widowControl w:val="0"/>
        <w:spacing w:line="480" w:lineRule="auto"/>
        <w:contextualSpacing/>
        <w:jc w:val="center"/>
        <w:rPr>
          <w:rFonts w:ascii="Times New Roman" w:hAnsi="Times New Roman" w:cs="Times New Roman"/>
          <w:sz w:val="24"/>
          <w:szCs w:val="24"/>
          <w:lang w:val="en-AU"/>
        </w:rPr>
      </w:pPr>
    </w:p>
    <w:p w:rsidR="0046312D" w:rsidRDefault="0046312D" w:rsidP="006F4CD7">
      <w:pPr>
        <w:widowControl w:val="0"/>
        <w:spacing w:line="480" w:lineRule="auto"/>
        <w:contextualSpacing/>
        <w:jc w:val="center"/>
        <w:rPr>
          <w:rFonts w:ascii="Times New Roman" w:hAnsi="Times New Roman" w:cs="Times New Roman"/>
          <w:sz w:val="24"/>
          <w:szCs w:val="24"/>
          <w:lang w:val="en-AU"/>
        </w:rPr>
      </w:pPr>
      <w:r w:rsidRPr="00CC3FC6">
        <w:rPr>
          <w:rFonts w:ascii="Times New Roman" w:hAnsi="Times New Roman" w:cs="Times New Roman"/>
          <w:sz w:val="24"/>
          <w:szCs w:val="24"/>
          <w:lang w:val="en-AU"/>
        </w:rPr>
        <w:t xml:space="preserve">Asset Impairment </w:t>
      </w:r>
      <w:r>
        <w:rPr>
          <w:rFonts w:ascii="Times New Roman" w:hAnsi="Times New Roman" w:cs="Times New Roman"/>
          <w:sz w:val="24"/>
          <w:szCs w:val="24"/>
          <w:lang w:val="en-AU"/>
        </w:rPr>
        <w:t>at The Star Entertainment Group</w:t>
      </w:r>
    </w:p>
    <w:p w:rsidR="0046312D" w:rsidRDefault="0046312D" w:rsidP="006F4CD7">
      <w:pPr>
        <w:widowControl w:val="0"/>
        <w:spacing w:line="480" w:lineRule="auto"/>
        <w:contextualSpacing/>
        <w:jc w:val="center"/>
        <w:rPr>
          <w:rFonts w:ascii="Times New Roman" w:hAnsi="Times New Roman" w:cs="Times New Roman"/>
          <w:sz w:val="24"/>
          <w:szCs w:val="24"/>
          <w:lang w:val="en-AU"/>
        </w:rPr>
      </w:pPr>
      <w:r>
        <w:rPr>
          <w:rFonts w:ascii="Times New Roman" w:hAnsi="Times New Roman" w:cs="Times New Roman"/>
          <w:sz w:val="24"/>
          <w:szCs w:val="24"/>
          <w:lang w:val="en-AU"/>
        </w:rPr>
        <w:t>Accounting Standards &amp; Regulations</w:t>
      </w:r>
    </w:p>
    <w:p w:rsidR="0046312D" w:rsidRDefault="0046312D" w:rsidP="006F4CD7">
      <w:pPr>
        <w:widowControl w:val="0"/>
        <w:spacing w:line="480" w:lineRule="auto"/>
        <w:contextualSpacing/>
        <w:jc w:val="center"/>
        <w:rPr>
          <w:rFonts w:ascii="Times New Roman" w:hAnsi="Times New Roman" w:cs="Times New Roman"/>
          <w:sz w:val="24"/>
          <w:szCs w:val="24"/>
          <w:lang w:val="en-AU"/>
        </w:rPr>
      </w:pPr>
      <w:r>
        <w:rPr>
          <w:rFonts w:ascii="Times New Roman" w:hAnsi="Times New Roman" w:cs="Times New Roman"/>
          <w:sz w:val="24"/>
          <w:szCs w:val="24"/>
          <w:lang w:val="en-AU"/>
        </w:rPr>
        <w:t>Student Name</w:t>
      </w:r>
    </w:p>
    <w:p w:rsidR="0046312D" w:rsidRDefault="0046312D" w:rsidP="006F4CD7">
      <w:pPr>
        <w:widowControl w:val="0"/>
        <w:spacing w:line="480" w:lineRule="auto"/>
        <w:contextualSpacing/>
        <w:jc w:val="center"/>
        <w:rPr>
          <w:rFonts w:ascii="Times New Roman" w:hAnsi="Times New Roman" w:cs="Times New Roman"/>
          <w:sz w:val="24"/>
          <w:szCs w:val="24"/>
          <w:lang w:val="en-AU"/>
        </w:rPr>
      </w:pPr>
      <w:r>
        <w:rPr>
          <w:rFonts w:ascii="Times New Roman" w:hAnsi="Times New Roman" w:cs="Times New Roman"/>
          <w:sz w:val="24"/>
          <w:szCs w:val="24"/>
          <w:lang w:val="en-AU"/>
        </w:rPr>
        <w:t>Student Number</w:t>
      </w:r>
    </w:p>
    <w:p w:rsidR="0046312D" w:rsidRPr="00CC3FC6" w:rsidRDefault="0046312D" w:rsidP="006F4CD7">
      <w:pPr>
        <w:widowControl w:val="0"/>
        <w:spacing w:line="480" w:lineRule="auto"/>
        <w:contextualSpacing/>
        <w:jc w:val="center"/>
        <w:rPr>
          <w:rFonts w:ascii="Times New Roman" w:hAnsi="Times New Roman" w:cs="Times New Roman"/>
          <w:sz w:val="24"/>
          <w:szCs w:val="24"/>
          <w:lang w:val="en-AU"/>
        </w:rPr>
      </w:pPr>
      <w:r>
        <w:rPr>
          <w:rFonts w:ascii="Times New Roman" w:hAnsi="Times New Roman" w:cs="Times New Roman"/>
          <w:sz w:val="24"/>
          <w:szCs w:val="24"/>
          <w:lang w:val="en-AU"/>
        </w:rPr>
        <w:t>Word Count</w:t>
      </w:r>
      <w:r w:rsidR="00A356EB">
        <w:rPr>
          <w:rFonts w:ascii="Times New Roman" w:hAnsi="Times New Roman" w:cs="Times New Roman"/>
          <w:sz w:val="24"/>
          <w:szCs w:val="24"/>
          <w:lang w:val="en-AU"/>
        </w:rPr>
        <w:t>: 1,262</w:t>
      </w:r>
    </w:p>
    <w:p w:rsidR="0046312D" w:rsidRDefault="0046312D" w:rsidP="006F4CD7">
      <w:pPr>
        <w:widowControl w:val="0"/>
        <w:spacing w:line="480" w:lineRule="auto"/>
        <w:contextualSpacing/>
        <w:rPr>
          <w:rFonts w:ascii="Times New Roman" w:hAnsi="Times New Roman" w:cs="Times New Roman"/>
          <w:sz w:val="24"/>
          <w:szCs w:val="24"/>
          <w:lang w:val="en-AU"/>
        </w:rPr>
      </w:pPr>
      <w:r>
        <w:rPr>
          <w:rFonts w:ascii="Times New Roman" w:hAnsi="Times New Roman" w:cs="Times New Roman"/>
          <w:sz w:val="24"/>
          <w:szCs w:val="24"/>
          <w:lang w:val="en-AU"/>
        </w:rPr>
        <w:br w:type="page"/>
      </w:r>
    </w:p>
    <w:p w:rsidR="00386B71" w:rsidRPr="00CC3FC6" w:rsidRDefault="00386B71" w:rsidP="006F4CD7">
      <w:pPr>
        <w:widowControl w:val="0"/>
        <w:spacing w:line="480" w:lineRule="auto"/>
        <w:contextualSpacing/>
        <w:jc w:val="center"/>
        <w:rPr>
          <w:rFonts w:ascii="Times New Roman" w:hAnsi="Times New Roman" w:cs="Times New Roman"/>
          <w:sz w:val="24"/>
          <w:szCs w:val="24"/>
          <w:lang w:val="en-AU"/>
        </w:rPr>
      </w:pPr>
      <w:r w:rsidRPr="00CC3FC6">
        <w:rPr>
          <w:rFonts w:ascii="Times New Roman" w:hAnsi="Times New Roman" w:cs="Times New Roman"/>
          <w:sz w:val="24"/>
          <w:szCs w:val="24"/>
          <w:lang w:val="en-AU"/>
        </w:rPr>
        <w:lastRenderedPageBreak/>
        <w:t xml:space="preserve">Asset Impairment </w:t>
      </w:r>
      <w:r w:rsidR="00875407">
        <w:rPr>
          <w:rFonts w:ascii="Times New Roman" w:hAnsi="Times New Roman" w:cs="Times New Roman"/>
          <w:sz w:val="24"/>
          <w:szCs w:val="24"/>
          <w:lang w:val="en-AU"/>
        </w:rPr>
        <w:t>at The Star Entertainment Group</w:t>
      </w:r>
    </w:p>
    <w:p w:rsidR="004E04B9" w:rsidRPr="004E04B9" w:rsidRDefault="004E04B9" w:rsidP="006F4CD7">
      <w:pPr>
        <w:widowControl w:val="0"/>
        <w:spacing w:line="480" w:lineRule="auto"/>
        <w:contextualSpacing/>
        <w:rPr>
          <w:rFonts w:ascii="Times New Roman" w:hAnsi="Times New Roman" w:cs="Times New Roman"/>
          <w:b/>
          <w:bCs/>
          <w:sz w:val="24"/>
          <w:szCs w:val="24"/>
          <w:lang w:val="en-AU"/>
        </w:rPr>
      </w:pPr>
      <w:r w:rsidRPr="004E04B9">
        <w:rPr>
          <w:rFonts w:ascii="Times New Roman" w:hAnsi="Times New Roman" w:cs="Times New Roman"/>
          <w:b/>
          <w:bCs/>
          <w:sz w:val="24"/>
          <w:szCs w:val="24"/>
          <w:lang w:val="en-AU"/>
        </w:rPr>
        <w:t>Evidence of Necessity of Asset Impairment</w:t>
      </w:r>
      <w:r>
        <w:rPr>
          <w:rFonts w:ascii="Times New Roman" w:hAnsi="Times New Roman" w:cs="Times New Roman"/>
          <w:b/>
          <w:bCs/>
          <w:sz w:val="24"/>
          <w:szCs w:val="24"/>
          <w:lang w:val="en-AU"/>
        </w:rPr>
        <w:t xml:space="preserve"> Testing</w:t>
      </w:r>
    </w:p>
    <w:p w:rsidR="00551CB2" w:rsidRDefault="00086D90" w:rsidP="006F4CD7">
      <w:pPr>
        <w:widowControl w:val="0"/>
        <w:spacing w:line="480" w:lineRule="auto"/>
        <w:ind w:firstLine="720"/>
        <w:contextualSpacing/>
        <w:rPr>
          <w:rFonts w:ascii="Times New Roman" w:hAnsi="Times New Roman" w:cs="Times New Roman"/>
          <w:sz w:val="24"/>
          <w:szCs w:val="24"/>
          <w:lang w:val="en-AU"/>
        </w:rPr>
      </w:pPr>
      <w:r>
        <w:rPr>
          <w:rFonts w:ascii="Times New Roman" w:hAnsi="Times New Roman" w:cs="Times New Roman"/>
          <w:sz w:val="24"/>
          <w:szCs w:val="24"/>
          <w:lang w:val="en-AU"/>
        </w:rPr>
        <w:t>Accounting Standard AASB136 defines an impaired asset as an asset whose book value exceeds its recoverable amount (AASB, 2021). The recoverable amount is the present value of the</w:t>
      </w:r>
      <w:r w:rsidR="004E04B9">
        <w:rPr>
          <w:rFonts w:ascii="Times New Roman" w:hAnsi="Times New Roman" w:cs="Times New Roman"/>
          <w:sz w:val="24"/>
          <w:szCs w:val="24"/>
          <w:lang w:val="en-AU"/>
        </w:rPr>
        <w:t xml:space="preserve"> benefits expected to be realized from the sale or use of the asset (AASB, 2021). </w:t>
      </w:r>
      <w:r w:rsidR="00EC7D5C">
        <w:rPr>
          <w:rFonts w:ascii="Times New Roman" w:hAnsi="Times New Roman" w:cs="Times New Roman"/>
          <w:sz w:val="24"/>
          <w:szCs w:val="24"/>
          <w:lang w:val="en-AU"/>
        </w:rPr>
        <w:t>AASB136 provides a comprehensive list of external and internal indicators that an entity’s assets might be impaired.</w:t>
      </w:r>
      <w:r w:rsidR="004E04B9">
        <w:rPr>
          <w:rFonts w:ascii="Times New Roman" w:hAnsi="Times New Roman" w:cs="Times New Roman"/>
          <w:sz w:val="24"/>
          <w:szCs w:val="24"/>
          <w:lang w:val="en-AU"/>
        </w:rPr>
        <w:t xml:space="preserve"> </w:t>
      </w:r>
      <w:r w:rsidR="00A23949">
        <w:rPr>
          <w:rFonts w:ascii="Times New Roman" w:hAnsi="Times New Roman" w:cs="Times New Roman"/>
          <w:sz w:val="24"/>
          <w:szCs w:val="24"/>
          <w:lang w:val="en-AU"/>
        </w:rPr>
        <w:t xml:space="preserve">The four external indicators of asset impairment include: </w:t>
      </w:r>
      <w:r w:rsidR="006F4CD7">
        <w:rPr>
          <w:rFonts w:ascii="Times New Roman" w:hAnsi="Times New Roman" w:cs="Times New Roman"/>
          <w:sz w:val="24"/>
          <w:szCs w:val="24"/>
          <w:lang w:val="en-AU"/>
        </w:rPr>
        <w:t xml:space="preserve">the </w:t>
      </w:r>
      <w:r w:rsidR="00A23949">
        <w:rPr>
          <w:rFonts w:ascii="Times New Roman" w:hAnsi="Times New Roman" w:cs="Times New Roman"/>
          <w:sz w:val="24"/>
          <w:szCs w:val="24"/>
          <w:lang w:val="en-AU"/>
        </w:rPr>
        <w:t xml:space="preserve">market capitalization is less than the book value of net assets, a substantial increase in the market interest rates has occurred and is likely to result in a higher discount rate and a materially lower recoverable amount estimate of the company’s assets, there is observable evidence of a decrease in asset value that is materially higher than would be expected from ordinary use, or significant adversarial changes have occurred or are expected to occur in the entity’s external environment (AASB, 2021 par. 12). </w:t>
      </w:r>
    </w:p>
    <w:p w:rsidR="00A23949" w:rsidRDefault="00A23949" w:rsidP="006F4CD7">
      <w:pPr>
        <w:widowControl w:val="0"/>
        <w:spacing w:line="480" w:lineRule="auto"/>
        <w:ind w:firstLine="720"/>
        <w:contextualSpacing/>
        <w:rPr>
          <w:rFonts w:ascii="Times New Roman" w:hAnsi="Times New Roman" w:cs="Times New Roman"/>
          <w:sz w:val="24"/>
          <w:szCs w:val="24"/>
          <w:lang w:val="en-AU"/>
        </w:rPr>
      </w:pPr>
      <w:r>
        <w:rPr>
          <w:rFonts w:ascii="Times New Roman" w:hAnsi="Times New Roman" w:cs="Times New Roman"/>
          <w:sz w:val="24"/>
          <w:szCs w:val="24"/>
          <w:lang w:val="en-AU"/>
        </w:rPr>
        <w:t>The findings of th</w:t>
      </w:r>
      <w:r w:rsidR="006F4CD7">
        <w:rPr>
          <w:rFonts w:ascii="Times New Roman" w:hAnsi="Times New Roman" w:cs="Times New Roman"/>
          <w:sz w:val="24"/>
          <w:szCs w:val="24"/>
          <w:lang w:val="en-AU"/>
        </w:rPr>
        <w:t>e</w:t>
      </w:r>
      <w:r w:rsidR="00551CB2">
        <w:rPr>
          <w:rFonts w:ascii="Times New Roman" w:hAnsi="Times New Roman" w:cs="Times New Roman"/>
          <w:sz w:val="24"/>
          <w:szCs w:val="24"/>
          <w:lang w:val="en-AU"/>
        </w:rPr>
        <w:t xml:space="preserve"> Bell inquir</w:t>
      </w:r>
      <w:r w:rsidR="006F4CD7">
        <w:rPr>
          <w:rFonts w:ascii="Times New Roman" w:hAnsi="Times New Roman" w:cs="Times New Roman"/>
          <w:sz w:val="24"/>
          <w:szCs w:val="24"/>
          <w:lang w:val="en-AU"/>
        </w:rPr>
        <w:t>y into</w:t>
      </w:r>
      <w:r w:rsidR="00551CB2">
        <w:rPr>
          <w:rFonts w:ascii="Times New Roman" w:hAnsi="Times New Roman" w:cs="Times New Roman"/>
          <w:sz w:val="24"/>
          <w:szCs w:val="24"/>
          <w:lang w:val="en-AU"/>
        </w:rPr>
        <w:t xml:space="preserve"> the Star’s compliance with its legal obligations represent a significant change in the entity’s legal environment that will impact its cash generation potential. The Star ran an illegal cash cage for Suncity, a junket operator linked to organized crime; </w:t>
      </w:r>
      <w:r w:rsidR="006F4CD7">
        <w:rPr>
          <w:rFonts w:ascii="Times New Roman" w:hAnsi="Times New Roman" w:cs="Times New Roman"/>
          <w:sz w:val="24"/>
          <w:szCs w:val="24"/>
          <w:lang w:val="en-AU"/>
        </w:rPr>
        <w:t xml:space="preserve">facilitated </w:t>
      </w:r>
      <w:r w:rsidR="00551CB2">
        <w:rPr>
          <w:rFonts w:ascii="Times New Roman" w:hAnsi="Times New Roman" w:cs="Times New Roman"/>
          <w:sz w:val="24"/>
          <w:szCs w:val="24"/>
          <w:lang w:val="en-AU"/>
        </w:rPr>
        <w:t>secret and illegal gambling; and participated in a banned gambling transactions linked to money laundering through the China UnionPay debit card scheme (</w:t>
      </w:r>
      <w:r w:rsidR="006F4CD7">
        <w:rPr>
          <w:rFonts w:ascii="Times New Roman" w:hAnsi="Times New Roman" w:cs="Times New Roman"/>
          <w:sz w:val="24"/>
          <w:szCs w:val="24"/>
          <w:lang w:val="en-AU"/>
        </w:rPr>
        <w:t>Wooton, Baird &amp; Fowler</w:t>
      </w:r>
      <w:r w:rsidR="00551CB2">
        <w:rPr>
          <w:rFonts w:ascii="Times New Roman" w:hAnsi="Times New Roman" w:cs="Times New Roman"/>
          <w:sz w:val="24"/>
          <w:szCs w:val="24"/>
          <w:lang w:val="en-AU"/>
        </w:rPr>
        <w:t>, 2022). The company’s profits are expected to take a hit with the modification of its</w:t>
      </w:r>
      <w:r w:rsidR="000377EF">
        <w:rPr>
          <w:rFonts w:ascii="Times New Roman" w:hAnsi="Times New Roman" w:cs="Times New Roman"/>
          <w:sz w:val="24"/>
          <w:szCs w:val="24"/>
          <w:lang w:val="en-AU"/>
        </w:rPr>
        <w:t xml:space="preserve"> business to eliminate illegal transactions as well as the suspension of its domestic and international rebates programs</w:t>
      </w:r>
      <w:r w:rsidR="00551CB2">
        <w:rPr>
          <w:rFonts w:ascii="Times New Roman" w:hAnsi="Times New Roman" w:cs="Times New Roman"/>
          <w:sz w:val="24"/>
          <w:szCs w:val="24"/>
          <w:lang w:val="en-AU"/>
        </w:rPr>
        <w:t>, which raises the possibility that its casino related assets are carried at more than the recoverable amount</w:t>
      </w:r>
      <w:r w:rsidR="000377EF">
        <w:rPr>
          <w:rFonts w:ascii="Times New Roman" w:hAnsi="Times New Roman" w:cs="Times New Roman"/>
          <w:sz w:val="24"/>
          <w:szCs w:val="24"/>
          <w:lang w:val="en-AU"/>
        </w:rPr>
        <w:t xml:space="preserve"> (The Star Entertainment Group, 2022)</w:t>
      </w:r>
      <w:r w:rsidR="00551CB2">
        <w:rPr>
          <w:rFonts w:ascii="Times New Roman" w:hAnsi="Times New Roman" w:cs="Times New Roman"/>
          <w:sz w:val="24"/>
          <w:szCs w:val="24"/>
          <w:lang w:val="en-AU"/>
        </w:rPr>
        <w:t xml:space="preserve">. </w:t>
      </w:r>
    </w:p>
    <w:p w:rsidR="000377EF" w:rsidRDefault="00695EF7" w:rsidP="006F4CD7">
      <w:pPr>
        <w:widowControl w:val="0"/>
        <w:spacing w:line="480" w:lineRule="auto"/>
        <w:ind w:firstLine="720"/>
        <w:contextualSpacing/>
        <w:rPr>
          <w:rFonts w:ascii="Times New Roman" w:hAnsi="Times New Roman" w:cs="Times New Roman"/>
          <w:sz w:val="24"/>
          <w:szCs w:val="24"/>
          <w:lang w:val="en-AU"/>
        </w:rPr>
      </w:pPr>
      <w:r>
        <w:rPr>
          <w:rFonts w:ascii="Times New Roman" w:hAnsi="Times New Roman" w:cs="Times New Roman"/>
          <w:sz w:val="24"/>
          <w:szCs w:val="24"/>
          <w:lang w:val="en-AU"/>
        </w:rPr>
        <w:t>The internal indicators of asset impairment include</w:t>
      </w:r>
      <w:r w:rsidR="004E38F3">
        <w:rPr>
          <w:rFonts w:ascii="Times New Roman" w:hAnsi="Times New Roman" w:cs="Times New Roman"/>
          <w:sz w:val="24"/>
          <w:szCs w:val="24"/>
          <w:lang w:val="en-AU"/>
        </w:rPr>
        <w:t xml:space="preserve">: the evidence of physical damage or </w:t>
      </w:r>
      <w:r w:rsidR="004E38F3">
        <w:rPr>
          <w:rFonts w:ascii="Times New Roman" w:hAnsi="Times New Roman" w:cs="Times New Roman"/>
          <w:sz w:val="24"/>
          <w:szCs w:val="24"/>
          <w:lang w:val="en-AU"/>
        </w:rPr>
        <w:lastRenderedPageBreak/>
        <w:t xml:space="preserve">obsolescence of an asset, internal reporting evidence of poorer than expected economic performance of an asset, and significant changes or expected changes in a company’s operations that would cause an asset to be idle or disposed off earlier than was anticipated (AASB, 2021 par. 12). The casino group’s auditors indicated that the company faces material uncertainties as a result of the Bell inquiry findings and </w:t>
      </w:r>
      <w:r w:rsidR="00062372">
        <w:rPr>
          <w:rFonts w:ascii="Times New Roman" w:hAnsi="Times New Roman" w:cs="Times New Roman"/>
          <w:sz w:val="24"/>
          <w:szCs w:val="24"/>
          <w:lang w:val="en-AU"/>
        </w:rPr>
        <w:t xml:space="preserve">the </w:t>
      </w:r>
      <w:r w:rsidR="004E38F3">
        <w:rPr>
          <w:rFonts w:ascii="Times New Roman" w:hAnsi="Times New Roman" w:cs="Times New Roman"/>
          <w:sz w:val="24"/>
          <w:szCs w:val="24"/>
          <w:lang w:val="en-AU"/>
        </w:rPr>
        <w:t xml:space="preserve">associated fines could impact the company’s ability to continue its operations (Fowler, 2022). </w:t>
      </w:r>
      <w:r w:rsidR="003C327C" w:rsidRPr="00CC3FC6">
        <w:rPr>
          <w:rFonts w:ascii="Times New Roman" w:hAnsi="Times New Roman" w:cs="Times New Roman"/>
          <w:sz w:val="24"/>
          <w:szCs w:val="24"/>
          <w:lang w:val="en-AU"/>
        </w:rPr>
        <w:t>The Star’s going concern challenges brings its ability to realize all future benefits from its assets into question.</w:t>
      </w:r>
      <w:r w:rsidR="00115C45" w:rsidRPr="00CC3FC6">
        <w:rPr>
          <w:rFonts w:ascii="Times New Roman" w:hAnsi="Times New Roman" w:cs="Times New Roman"/>
          <w:sz w:val="24"/>
          <w:szCs w:val="24"/>
          <w:lang w:val="en-AU"/>
        </w:rPr>
        <w:t xml:space="preserve"> The company’s cash flow will be constricted by the payment of the </w:t>
      </w:r>
      <w:r w:rsidR="004E38F3">
        <w:rPr>
          <w:rFonts w:ascii="Times New Roman" w:hAnsi="Times New Roman" w:cs="Times New Roman"/>
          <w:sz w:val="24"/>
          <w:szCs w:val="24"/>
          <w:lang w:val="en-AU"/>
        </w:rPr>
        <w:t xml:space="preserve">$200 million </w:t>
      </w:r>
      <w:r w:rsidR="00115C45" w:rsidRPr="00CC3FC6">
        <w:rPr>
          <w:rFonts w:ascii="Times New Roman" w:hAnsi="Times New Roman" w:cs="Times New Roman"/>
          <w:sz w:val="24"/>
          <w:szCs w:val="24"/>
          <w:lang w:val="en-AU"/>
        </w:rPr>
        <w:t>fine</w:t>
      </w:r>
      <w:r w:rsidR="004E38F3">
        <w:rPr>
          <w:rFonts w:ascii="Times New Roman" w:hAnsi="Times New Roman" w:cs="Times New Roman"/>
          <w:sz w:val="24"/>
          <w:szCs w:val="24"/>
          <w:lang w:val="en-AU"/>
        </w:rPr>
        <w:t xml:space="preserve"> imposed by the Queensland and NSW state government and anti-money laundering fines to AUSTRAC (Fowler, 2022</w:t>
      </w:r>
      <w:r w:rsidR="000377EF">
        <w:rPr>
          <w:rFonts w:ascii="Times New Roman" w:hAnsi="Times New Roman" w:cs="Times New Roman"/>
          <w:sz w:val="24"/>
          <w:szCs w:val="24"/>
          <w:lang w:val="en-AU"/>
        </w:rPr>
        <w:t>; Gibbs, 2022</w:t>
      </w:r>
      <w:r w:rsidR="004E38F3">
        <w:rPr>
          <w:rFonts w:ascii="Times New Roman" w:hAnsi="Times New Roman" w:cs="Times New Roman"/>
          <w:sz w:val="24"/>
          <w:szCs w:val="24"/>
          <w:lang w:val="en-AU"/>
        </w:rPr>
        <w:t>)</w:t>
      </w:r>
      <w:r w:rsidR="00115C45" w:rsidRPr="00CC3FC6">
        <w:rPr>
          <w:rFonts w:ascii="Times New Roman" w:hAnsi="Times New Roman" w:cs="Times New Roman"/>
          <w:sz w:val="24"/>
          <w:szCs w:val="24"/>
          <w:lang w:val="en-AU"/>
        </w:rPr>
        <w:t>.</w:t>
      </w:r>
      <w:r w:rsidR="004E38F3">
        <w:rPr>
          <w:rFonts w:ascii="Times New Roman" w:hAnsi="Times New Roman" w:cs="Times New Roman"/>
          <w:sz w:val="24"/>
          <w:szCs w:val="24"/>
          <w:lang w:val="en-AU"/>
        </w:rPr>
        <w:t xml:space="preserve"> </w:t>
      </w:r>
      <w:r w:rsidR="000377EF">
        <w:rPr>
          <w:rFonts w:ascii="Times New Roman" w:hAnsi="Times New Roman" w:cs="Times New Roman"/>
          <w:sz w:val="24"/>
          <w:szCs w:val="24"/>
          <w:lang w:val="en-AU"/>
        </w:rPr>
        <w:t>Should</w:t>
      </w:r>
      <w:r w:rsidR="00115C45" w:rsidRPr="00CC3FC6">
        <w:rPr>
          <w:rFonts w:ascii="Times New Roman" w:hAnsi="Times New Roman" w:cs="Times New Roman"/>
          <w:sz w:val="24"/>
          <w:szCs w:val="24"/>
          <w:lang w:val="en-AU"/>
        </w:rPr>
        <w:t xml:space="preserve"> the casino </w:t>
      </w:r>
      <w:r w:rsidR="000377EF">
        <w:rPr>
          <w:rFonts w:ascii="Times New Roman" w:hAnsi="Times New Roman" w:cs="Times New Roman"/>
          <w:sz w:val="24"/>
          <w:szCs w:val="24"/>
          <w:lang w:val="en-AU"/>
        </w:rPr>
        <w:t>be</w:t>
      </w:r>
      <w:r w:rsidR="00115C45" w:rsidRPr="00CC3FC6">
        <w:rPr>
          <w:rFonts w:ascii="Times New Roman" w:hAnsi="Times New Roman" w:cs="Times New Roman"/>
          <w:sz w:val="24"/>
          <w:szCs w:val="24"/>
          <w:lang w:val="en-AU"/>
        </w:rPr>
        <w:t xml:space="preserve"> unable to obtain debt financing from banks and other borrowers, it </w:t>
      </w:r>
      <w:r w:rsidR="000377EF">
        <w:rPr>
          <w:rFonts w:ascii="Times New Roman" w:hAnsi="Times New Roman" w:cs="Times New Roman"/>
          <w:sz w:val="24"/>
          <w:szCs w:val="24"/>
          <w:lang w:val="en-AU"/>
        </w:rPr>
        <w:t>will</w:t>
      </w:r>
      <w:r w:rsidR="00115C45" w:rsidRPr="00CC3FC6">
        <w:rPr>
          <w:rFonts w:ascii="Times New Roman" w:hAnsi="Times New Roman" w:cs="Times New Roman"/>
          <w:sz w:val="24"/>
          <w:szCs w:val="24"/>
          <w:lang w:val="en-AU"/>
        </w:rPr>
        <w:t xml:space="preserve"> be forced to declare bankruptcy. In that case, the company will be liquidated and its assets will be disposed. </w:t>
      </w:r>
      <w:r w:rsidR="000377EF">
        <w:rPr>
          <w:rFonts w:ascii="Times New Roman" w:hAnsi="Times New Roman" w:cs="Times New Roman"/>
          <w:sz w:val="24"/>
          <w:szCs w:val="24"/>
          <w:lang w:val="en-AU"/>
        </w:rPr>
        <w:t>The potential discontinuation of operations is a significant change in the company’s operating environment that serves as an indicator of the necessity of asset impairment testing.</w:t>
      </w:r>
    </w:p>
    <w:p w:rsidR="006D0D21" w:rsidRPr="00CC3FC6" w:rsidRDefault="006D0D21" w:rsidP="006F4CD7">
      <w:pPr>
        <w:widowControl w:val="0"/>
        <w:spacing w:line="480" w:lineRule="auto"/>
        <w:contextualSpacing/>
        <w:rPr>
          <w:rFonts w:ascii="Times New Roman" w:hAnsi="Times New Roman" w:cs="Times New Roman"/>
          <w:b/>
          <w:bCs/>
          <w:sz w:val="24"/>
          <w:szCs w:val="24"/>
          <w:lang w:val="en-AU"/>
        </w:rPr>
      </w:pPr>
      <w:r w:rsidRPr="00CC3FC6">
        <w:rPr>
          <w:rFonts w:ascii="Times New Roman" w:hAnsi="Times New Roman" w:cs="Times New Roman"/>
          <w:b/>
          <w:bCs/>
          <w:sz w:val="24"/>
          <w:szCs w:val="24"/>
          <w:lang w:val="en-AU"/>
        </w:rPr>
        <w:t xml:space="preserve">Process of </w:t>
      </w:r>
      <w:r w:rsidR="00A82294">
        <w:rPr>
          <w:rFonts w:ascii="Times New Roman" w:hAnsi="Times New Roman" w:cs="Times New Roman"/>
          <w:b/>
          <w:bCs/>
          <w:sz w:val="24"/>
          <w:szCs w:val="24"/>
          <w:lang w:val="en-AU"/>
        </w:rPr>
        <w:t>Determining Necessity of Asset Impairment</w:t>
      </w:r>
    </w:p>
    <w:p w:rsidR="00F41C50" w:rsidRDefault="0059505F" w:rsidP="006F4CD7">
      <w:pPr>
        <w:widowControl w:val="0"/>
        <w:spacing w:line="480" w:lineRule="auto"/>
        <w:contextualSpacing/>
        <w:rPr>
          <w:rFonts w:ascii="Times New Roman" w:hAnsi="Times New Roman" w:cs="Times New Roman"/>
          <w:sz w:val="24"/>
          <w:szCs w:val="24"/>
          <w:lang w:val="en-AU"/>
        </w:rPr>
      </w:pPr>
      <w:r>
        <w:rPr>
          <w:rFonts w:ascii="Times New Roman" w:hAnsi="Times New Roman" w:cs="Times New Roman"/>
          <w:sz w:val="24"/>
          <w:szCs w:val="24"/>
          <w:lang w:val="en-AU"/>
        </w:rPr>
        <w:tab/>
        <w:t xml:space="preserve">The presence of any one of the </w:t>
      </w:r>
      <w:r w:rsidR="00F41C50">
        <w:rPr>
          <w:rFonts w:ascii="Times New Roman" w:hAnsi="Times New Roman" w:cs="Times New Roman"/>
          <w:sz w:val="24"/>
          <w:szCs w:val="24"/>
          <w:lang w:val="en-AU"/>
        </w:rPr>
        <w:t xml:space="preserve">aforementioned </w:t>
      </w:r>
      <w:r>
        <w:rPr>
          <w:rFonts w:ascii="Times New Roman" w:hAnsi="Times New Roman" w:cs="Times New Roman"/>
          <w:sz w:val="24"/>
          <w:szCs w:val="24"/>
          <w:lang w:val="en-AU"/>
        </w:rPr>
        <w:t xml:space="preserve">indicators </w:t>
      </w:r>
      <w:r w:rsidR="00F41C50">
        <w:rPr>
          <w:rFonts w:ascii="Times New Roman" w:hAnsi="Times New Roman" w:cs="Times New Roman"/>
          <w:sz w:val="24"/>
          <w:szCs w:val="24"/>
          <w:lang w:val="en-AU"/>
        </w:rPr>
        <w:t>of asset impairment must be followed by</w:t>
      </w:r>
      <w:r>
        <w:rPr>
          <w:rFonts w:ascii="Times New Roman" w:hAnsi="Times New Roman" w:cs="Times New Roman"/>
          <w:sz w:val="24"/>
          <w:szCs w:val="24"/>
          <w:lang w:val="en-AU"/>
        </w:rPr>
        <w:t xml:space="preserve"> a formal estimation of the recoverable amount of the assets suspected to be impaired (AASB</w:t>
      </w:r>
      <w:r w:rsidR="00E363CC">
        <w:rPr>
          <w:rFonts w:ascii="Times New Roman" w:hAnsi="Times New Roman" w:cs="Times New Roman"/>
          <w:sz w:val="24"/>
          <w:szCs w:val="24"/>
          <w:lang w:val="en-AU"/>
        </w:rPr>
        <w:t>, 2021</w:t>
      </w:r>
      <w:r>
        <w:rPr>
          <w:rFonts w:ascii="Times New Roman" w:hAnsi="Times New Roman" w:cs="Times New Roman"/>
          <w:sz w:val="24"/>
          <w:szCs w:val="24"/>
          <w:lang w:val="en-AU"/>
        </w:rPr>
        <w:t xml:space="preserve"> par. 9). Companies are required to perform an assessment of the possibility of asset impairment at the end of every reporting period (AASB</w:t>
      </w:r>
      <w:r w:rsidR="00E363CC">
        <w:rPr>
          <w:rFonts w:ascii="Times New Roman" w:hAnsi="Times New Roman" w:cs="Times New Roman"/>
          <w:sz w:val="24"/>
          <w:szCs w:val="24"/>
          <w:lang w:val="en-AU"/>
        </w:rPr>
        <w:t>, 2021</w:t>
      </w:r>
      <w:r>
        <w:rPr>
          <w:rFonts w:ascii="Times New Roman" w:hAnsi="Times New Roman" w:cs="Times New Roman"/>
          <w:sz w:val="24"/>
          <w:szCs w:val="24"/>
          <w:lang w:val="en-AU"/>
        </w:rPr>
        <w:t xml:space="preserve"> par. 9). In the Star’s case, the</w:t>
      </w:r>
      <w:r w:rsidR="00F41C50">
        <w:rPr>
          <w:rFonts w:ascii="Times New Roman" w:hAnsi="Times New Roman" w:cs="Times New Roman"/>
          <w:sz w:val="24"/>
          <w:szCs w:val="24"/>
          <w:lang w:val="en-AU"/>
        </w:rPr>
        <w:t xml:space="preserve"> e</w:t>
      </w:r>
      <w:r>
        <w:rPr>
          <w:rFonts w:ascii="Times New Roman" w:hAnsi="Times New Roman" w:cs="Times New Roman"/>
          <w:sz w:val="24"/>
          <w:szCs w:val="24"/>
          <w:lang w:val="en-AU"/>
        </w:rPr>
        <w:t xml:space="preserve">vidence of asset impairment </w:t>
      </w:r>
      <w:r w:rsidR="00F41C50">
        <w:rPr>
          <w:rFonts w:ascii="Times New Roman" w:hAnsi="Times New Roman" w:cs="Times New Roman"/>
          <w:sz w:val="24"/>
          <w:szCs w:val="24"/>
          <w:lang w:val="en-AU"/>
        </w:rPr>
        <w:t xml:space="preserve">existed at its June 30, 2022 </w:t>
      </w:r>
      <w:r w:rsidR="00062372">
        <w:rPr>
          <w:rFonts w:ascii="Times New Roman" w:hAnsi="Times New Roman" w:cs="Times New Roman"/>
          <w:sz w:val="24"/>
          <w:szCs w:val="24"/>
          <w:lang w:val="en-AU"/>
        </w:rPr>
        <w:t>financial year end</w:t>
      </w:r>
      <w:r w:rsidR="00F41C50">
        <w:rPr>
          <w:rFonts w:ascii="Times New Roman" w:hAnsi="Times New Roman" w:cs="Times New Roman"/>
          <w:sz w:val="24"/>
          <w:szCs w:val="24"/>
          <w:lang w:val="en-AU"/>
        </w:rPr>
        <w:t xml:space="preserve"> given that the Bell Inquiry began in February 2022 and the company’s management expected an adverse report from the inquiry as of June.</w:t>
      </w:r>
      <w:r>
        <w:rPr>
          <w:rFonts w:ascii="Times New Roman" w:hAnsi="Times New Roman" w:cs="Times New Roman"/>
          <w:sz w:val="24"/>
          <w:szCs w:val="24"/>
          <w:lang w:val="en-AU"/>
        </w:rPr>
        <w:t xml:space="preserve"> Th</w:t>
      </w:r>
      <w:r w:rsidR="00F41C50">
        <w:rPr>
          <w:rFonts w:ascii="Times New Roman" w:hAnsi="Times New Roman" w:cs="Times New Roman"/>
          <w:sz w:val="24"/>
          <w:szCs w:val="24"/>
          <w:lang w:val="en-AU"/>
        </w:rPr>
        <w:t>erefore</w:t>
      </w:r>
      <w:r>
        <w:rPr>
          <w:rFonts w:ascii="Times New Roman" w:hAnsi="Times New Roman" w:cs="Times New Roman"/>
          <w:sz w:val="24"/>
          <w:szCs w:val="24"/>
          <w:lang w:val="en-AU"/>
        </w:rPr>
        <w:t xml:space="preserve">, </w:t>
      </w:r>
      <w:r w:rsidR="00F41C50">
        <w:rPr>
          <w:rFonts w:ascii="Times New Roman" w:hAnsi="Times New Roman" w:cs="Times New Roman"/>
          <w:sz w:val="24"/>
          <w:szCs w:val="24"/>
          <w:lang w:val="en-AU"/>
        </w:rPr>
        <w:t>the Star was required to perform</w:t>
      </w:r>
      <w:r>
        <w:rPr>
          <w:rFonts w:ascii="Times New Roman" w:hAnsi="Times New Roman" w:cs="Times New Roman"/>
          <w:sz w:val="24"/>
          <w:szCs w:val="24"/>
          <w:lang w:val="en-AU"/>
        </w:rPr>
        <w:t xml:space="preserve"> formal impairment test</w:t>
      </w:r>
      <w:r w:rsidR="00F41C50">
        <w:rPr>
          <w:rFonts w:ascii="Times New Roman" w:hAnsi="Times New Roman" w:cs="Times New Roman"/>
          <w:sz w:val="24"/>
          <w:szCs w:val="24"/>
          <w:lang w:val="en-AU"/>
        </w:rPr>
        <w:t>ing of its long-lived casino-related assets by June 30, 2022.</w:t>
      </w:r>
    </w:p>
    <w:p w:rsidR="00F41C50" w:rsidRDefault="002C74DB" w:rsidP="006F4CD7">
      <w:pPr>
        <w:widowControl w:val="0"/>
        <w:spacing w:line="480" w:lineRule="auto"/>
        <w:contextualSpacing/>
        <w:rPr>
          <w:rFonts w:ascii="Times New Roman" w:hAnsi="Times New Roman" w:cs="Times New Roman"/>
          <w:sz w:val="24"/>
          <w:szCs w:val="24"/>
          <w:lang w:val="en-AU"/>
        </w:rPr>
      </w:pPr>
      <w:r>
        <w:rPr>
          <w:rFonts w:ascii="Times New Roman" w:hAnsi="Times New Roman" w:cs="Times New Roman"/>
          <w:sz w:val="24"/>
          <w:szCs w:val="24"/>
          <w:lang w:val="en-AU"/>
        </w:rPr>
        <w:tab/>
      </w:r>
      <w:r w:rsidR="00E363CC">
        <w:rPr>
          <w:rFonts w:ascii="Times New Roman" w:hAnsi="Times New Roman" w:cs="Times New Roman"/>
          <w:sz w:val="24"/>
          <w:szCs w:val="24"/>
          <w:lang w:val="en-AU"/>
        </w:rPr>
        <w:t>The first step would be to determine the recoverable amount of the asset or cash-</w:t>
      </w:r>
      <w:r w:rsidR="00E363CC">
        <w:rPr>
          <w:rFonts w:ascii="Times New Roman" w:hAnsi="Times New Roman" w:cs="Times New Roman"/>
          <w:sz w:val="24"/>
          <w:szCs w:val="24"/>
          <w:lang w:val="en-AU"/>
        </w:rPr>
        <w:lastRenderedPageBreak/>
        <w:t xml:space="preserve">generating unit. The recoverable amount is the greater of the asset’s fair value net its cost of disposal or its value in use (AASB, 2021 par. 18). The value in use is the present value of the future cash flows the company expects to derive from an asset when accounting for uncertainties in the amount and timing of the cash flows and other factors such as the risk-free rate and asset illiquidity (AASB, 2021 par. 30) </w:t>
      </w:r>
      <w:r>
        <w:rPr>
          <w:rFonts w:ascii="Times New Roman" w:hAnsi="Times New Roman" w:cs="Times New Roman"/>
          <w:sz w:val="24"/>
          <w:szCs w:val="24"/>
          <w:lang w:val="en-AU"/>
        </w:rPr>
        <w:t>Once the recoverable amount</w:t>
      </w:r>
      <w:r w:rsidR="00E363CC">
        <w:rPr>
          <w:rFonts w:ascii="Times New Roman" w:hAnsi="Times New Roman" w:cs="Times New Roman"/>
          <w:sz w:val="24"/>
          <w:szCs w:val="24"/>
          <w:lang w:val="en-AU"/>
        </w:rPr>
        <w:t xml:space="preserve"> </w:t>
      </w:r>
      <w:r>
        <w:rPr>
          <w:rFonts w:ascii="Times New Roman" w:hAnsi="Times New Roman" w:cs="Times New Roman"/>
          <w:sz w:val="24"/>
          <w:szCs w:val="24"/>
          <w:lang w:val="en-AU"/>
        </w:rPr>
        <w:t>has been estimated, it is compared to the entity’s carrying value. An impairment loss</w:t>
      </w:r>
      <w:r w:rsidR="00E363CC">
        <w:rPr>
          <w:rFonts w:ascii="Times New Roman" w:hAnsi="Times New Roman" w:cs="Times New Roman"/>
          <w:sz w:val="24"/>
          <w:szCs w:val="24"/>
          <w:lang w:val="en-AU"/>
        </w:rPr>
        <w:t>, equal to the difference between the carrying value and recoverable amount,</w:t>
      </w:r>
      <w:r>
        <w:rPr>
          <w:rFonts w:ascii="Times New Roman" w:hAnsi="Times New Roman" w:cs="Times New Roman"/>
          <w:sz w:val="24"/>
          <w:szCs w:val="24"/>
          <w:lang w:val="en-AU"/>
        </w:rPr>
        <w:t xml:space="preserve"> is recognized if</w:t>
      </w:r>
      <w:r w:rsidR="00E363CC">
        <w:rPr>
          <w:rFonts w:ascii="Times New Roman" w:hAnsi="Times New Roman" w:cs="Times New Roman"/>
          <w:sz w:val="24"/>
          <w:szCs w:val="24"/>
          <w:lang w:val="en-AU"/>
        </w:rPr>
        <w:t xml:space="preserve"> and only if the former exceeds the latter (AASB, 2021 par. 59). Impairment losses are recognized in the profit and loss statement expect for revalued assets </w:t>
      </w:r>
      <w:r w:rsidR="00E3476F">
        <w:rPr>
          <w:rFonts w:ascii="Times New Roman" w:hAnsi="Times New Roman" w:cs="Times New Roman"/>
          <w:sz w:val="24"/>
          <w:szCs w:val="24"/>
          <w:lang w:val="en-AU"/>
        </w:rPr>
        <w:t>for which the loss is applied as a decrease to the revaluation account (AASB, 2021 par. 60).</w:t>
      </w:r>
    </w:p>
    <w:p w:rsidR="006D0D21" w:rsidRPr="00CC3FC6" w:rsidRDefault="003C327C" w:rsidP="006F4CD7">
      <w:pPr>
        <w:widowControl w:val="0"/>
        <w:spacing w:line="480" w:lineRule="auto"/>
        <w:contextualSpacing/>
        <w:rPr>
          <w:rFonts w:ascii="Times New Roman" w:hAnsi="Times New Roman" w:cs="Times New Roman"/>
          <w:b/>
          <w:bCs/>
          <w:sz w:val="24"/>
          <w:szCs w:val="24"/>
          <w:lang w:val="en-AU"/>
        </w:rPr>
      </w:pPr>
      <w:r w:rsidRPr="00CC3FC6">
        <w:rPr>
          <w:rFonts w:ascii="Times New Roman" w:hAnsi="Times New Roman" w:cs="Times New Roman"/>
          <w:b/>
          <w:bCs/>
          <w:sz w:val="24"/>
          <w:szCs w:val="24"/>
          <w:lang w:val="en-AU"/>
        </w:rPr>
        <w:t xml:space="preserve">Information </w:t>
      </w:r>
      <w:r w:rsidR="00E3476F">
        <w:rPr>
          <w:rFonts w:ascii="Times New Roman" w:hAnsi="Times New Roman" w:cs="Times New Roman"/>
          <w:b/>
          <w:bCs/>
          <w:sz w:val="24"/>
          <w:szCs w:val="24"/>
          <w:lang w:val="en-AU"/>
        </w:rPr>
        <w:t>Disclosed</w:t>
      </w:r>
      <w:r w:rsidRPr="00CC3FC6">
        <w:rPr>
          <w:rFonts w:ascii="Times New Roman" w:hAnsi="Times New Roman" w:cs="Times New Roman"/>
          <w:b/>
          <w:bCs/>
          <w:sz w:val="24"/>
          <w:szCs w:val="24"/>
          <w:lang w:val="en-AU"/>
        </w:rPr>
        <w:t xml:space="preserve"> for Asset Impairment</w:t>
      </w:r>
    </w:p>
    <w:p w:rsidR="00AC79DB" w:rsidRDefault="00E3476F" w:rsidP="006F4CD7">
      <w:pPr>
        <w:widowControl w:val="0"/>
        <w:spacing w:line="480" w:lineRule="auto"/>
        <w:contextualSpacing/>
        <w:rPr>
          <w:rFonts w:ascii="Times New Roman" w:hAnsi="Times New Roman" w:cs="Times New Roman"/>
          <w:sz w:val="24"/>
          <w:szCs w:val="24"/>
          <w:lang w:val="en-AU"/>
        </w:rPr>
      </w:pPr>
      <w:r>
        <w:rPr>
          <w:rFonts w:ascii="Times New Roman" w:hAnsi="Times New Roman" w:cs="Times New Roman"/>
          <w:sz w:val="24"/>
          <w:szCs w:val="24"/>
          <w:lang w:val="en-AU"/>
        </w:rPr>
        <w:tab/>
        <w:t xml:space="preserve">Entities that recognize an impairment loss in a given period are required to disclose the impairment losses recognized in the profit and loss statement and the line items of the statement of comprehensive income relating to the loss (AASB, 2021 par. 126). The standards provide additional disclosure requirements for entities that recognize an impairment loss for a previously revalued asset or unit. The Star disclosed the impairment loss as part of the depreciation, amortisation, and impairment line item in its profit and loss statement. The company also provided a breakdown of its impairment loss in note A4 to its financial statement: it recognized a $162.5 impairment loss for goodwill in 2022 but no impairment losses were recognized for property plant and equipment (The Star Entertainment Group, 2022). </w:t>
      </w:r>
    </w:p>
    <w:p w:rsidR="006D0D21" w:rsidRPr="00E3476F" w:rsidRDefault="0097285C" w:rsidP="006F4CD7">
      <w:pPr>
        <w:widowControl w:val="0"/>
        <w:spacing w:line="480" w:lineRule="auto"/>
        <w:ind w:firstLine="720"/>
        <w:contextualSpacing/>
        <w:rPr>
          <w:rFonts w:ascii="Times New Roman" w:hAnsi="Times New Roman" w:cs="Times New Roman"/>
          <w:sz w:val="24"/>
          <w:szCs w:val="24"/>
          <w:lang w:val="en-AU"/>
        </w:rPr>
      </w:pPr>
      <w:r>
        <w:rPr>
          <w:rFonts w:ascii="Times New Roman" w:hAnsi="Times New Roman" w:cs="Times New Roman"/>
          <w:sz w:val="24"/>
          <w:szCs w:val="24"/>
          <w:lang w:val="en-AU"/>
        </w:rPr>
        <w:t>Companies are also required to disclose the events and circumstances leading to the impairment</w:t>
      </w:r>
      <w:r w:rsidR="00AC79DB">
        <w:rPr>
          <w:rFonts w:ascii="Times New Roman" w:hAnsi="Times New Roman" w:cs="Times New Roman"/>
          <w:sz w:val="24"/>
          <w:szCs w:val="24"/>
          <w:lang w:val="en-AU"/>
        </w:rPr>
        <w:t>; a description of the impaired entity; the</w:t>
      </w:r>
      <w:r>
        <w:rPr>
          <w:rFonts w:ascii="Times New Roman" w:hAnsi="Times New Roman" w:cs="Times New Roman"/>
          <w:sz w:val="24"/>
          <w:szCs w:val="24"/>
          <w:lang w:val="en-AU"/>
        </w:rPr>
        <w:t xml:space="preserve"> recoverable amount </w:t>
      </w:r>
      <w:r w:rsidR="00AC79DB">
        <w:rPr>
          <w:rFonts w:ascii="Times New Roman" w:hAnsi="Times New Roman" w:cs="Times New Roman"/>
          <w:sz w:val="24"/>
          <w:szCs w:val="24"/>
          <w:lang w:val="en-AU"/>
        </w:rPr>
        <w:t xml:space="preserve">and whether it is the fair value or value in use amount; and the level fair value hierarchy used in measurement or the </w:t>
      </w:r>
      <w:r w:rsidR="00AC79DB">
        <w:rPr>
          <w:rFonts w:ascii="Times New Roman" w:hAnsi="Times New Roman" w:cs="Times New Roman"/>
          <w:sz w:val="24"/>
          <w:szCs w:val="24"/>
          <w:lang w:val="en-AU"/>
        </w:rPr>
        <w:lastRenderedPageBreak/>
        <w:t>discount rate used if value in use (AASB, 2021 pars 129-131). The Star failed to disclose the additional information in its notes to the financial statements.</w:t>
      </w:r>
    </w:p>
    <w:p w:rsidR="006D0D21" w:rsidRPr="00CC3FC6" w:rsidRDefault="003C327C" w:rsidP="006F4CD7">
      <w:pPr>
        <w:widowControl w:val="0"/>
        <w:spacing w:line="480" w:lineRule="auto"/>
        <w:contextualSpacing/>
        <w:rPr>
          <w:rFonts w:ascii="Times New Roman" w:hAnsi="Times New Roman" w:cs="Times New Roman"/>
          <w:b/>
          <w:bCs/>
          <w:sz w:val="24"/>
          <w:szCs w:val="24"/>
          <w:lang w:val="en-AU"/>
        </w:rPr>
      </w:pPr>
      <w:r w:rsidRPr="00CC3FC6">
        <w:rPr>
          <w:rFonts w:ascii="Times New Roman" w:hAnsi="Times New Roman" w:cs="Times New Roman"/>
          <w:b/>
          <w:bCs/>
          <w:sz w:val="24"/>
          <w:szCs w:val="24"/>
          <w:lang w:val="en-AU"/>
        </w:rPr>
        <w:t>Management Discretion in Impairment Testing</w:t>
      </w:r>
    </w:p>
    <w:p w:rsidR="00062372" w:rsidRDefault="00010FA1" w:rsidP="00062372">
      <w:pPr>
        <w:widowControl w:val="0"/>
        <w:spacing w:line="480" w:lineRule="auto"/>
        <w:ind w:firstLine="720"/>
        <w:contextualSpacing/>
        <w:rPr>
          <w:rFonts w:ascii="Times New Roman" w:hAnsi="Times New Roman" w:cs="Times New Roman"/>
          <w:sz w:val="24"/>
          <w:szCs w:val="24"/>
          <w:lang w:val="en-AU"/>
        </w:rPr>
      </w:pPr>
      <w:r>
        <w:rPr>
          <w:rFonts w:ascii="Times New Roman" w:hAnsi="Times New Roman" w:cs="Times New Roman"/>
          <w:sz w:val="24"/>
          <w:szCs w:val="24"/>
          <w:lang w:val="en-AU"/>
        </w:rPr>
        <w:t>Management has considerable flexibility in the determination of asset impairments</w:t>
      </w:r>
      <w:r w:rsidR="00AC79DB">
        <w:rPr>
          <w:rFonts w:ascii="Times New Roman" w:hAnsi="Times New Roman" w:cs="Times New Roman"/>
          <w:sz w:val="24"/>
          <w:szCs w:val="24"/>
          <w:lang w:val="en-AU"/>
        </w:rPr>
        <w:t xml:space="preserve">. In 2022, the Star recognized an impairment loss on goodwill but no loss on property, plant, and equipment despite the expected decrease in revenue following the termination of its relationship with Suncity and the suspension of its domestic and international rebates program. </w:t>
      </w:r>
      <w:r w:rsidR="00062372">
        <w:rPr>
          <w:rFonts w:ascii="Times New Roman" w:hAnsi="Times New Roman" w:cs="Times New Roman"/>
          <w:sz w:val="24"/>
          <w:szCs w:val="24"/>
          <w:lang w:val="en-AU"/>
        </w:rPr>
        <w:t xml:space="preserve">Unlike long-lived tangible assets whose recoverable amounts are evaluated only if there is evidence of impairment, the AASB requires companies to perform a formal test for impairment of intangible assets and goodwill at least once a year. The Star’s casino licenses make significant contribution to its total assets balance with the Sydney and Brisbane casino licenses carried at $212.9 million as of June 30, 2022. </w:t>
      </w:r>
      <w:r w:rsidRPr="00010FA1">
        <w:rPr>
          <w:rFonts w:ascii="Times New Roman" w:hAnsi="Times New Roman" w:cs="Times New Roman"/>
          <w:sz w:val="24"/>
          <w:szCs w:val="24"/>
          <w:lang w:val="en-AU"/>
        </w:rPr>
        <w:t xml:space="preserve">At present, the suspension of The Star’s casino license has been </w:t>
      </w:r>
      <w:r w:rsidR="00062372">
        <w:rPr>
          <w:rFonts w:ascii="Times New Roman" w:hAnsi="Times New Roman" w:cs="Times New Roman"/>
          <w:sz w:val="24"/>
          <w:szCs w:val="24"/>
          <w:lang w:val="en-AU"/>
        </w:rPr>
        <w:t>postponed</w:t>
      </w:r>
      <w:r w:rsidRPr="00010FA1">
        <w:rPr>
          <w:rFonts w:ascii="Times New Roman" w:hAnsi="Times New Roman" w:cs="Times New Roman"/>
          <w:sz w:val="24"/>
          <w:szCs w:val="24"/>
          <w:lang w:val="en-AU"/>
        </w:rPr>
        <w:t xml:space="preserve"> till December 2023 and is contingent on the company’s failure to address the identified issues in its operations (Gibbs, 2022).</w:t>
      </w:r>
      <w:r w:rsidR="008356B1">
        <w:rPr>
          <w:rFonts w:ascii="Times New Roman" w:hAnsi="Times New Roman" w:cs="Times New Roman"/>
          <w:sz w:val="24"/>
          <w:szCs w:val="24"/>
          <w:lang w:val="en-AU"/>
        </w:rPr>
        <w:t xml:space="preserve"> </w:t>
      </w:r>
      <w:r w:rsidR="008356B1" w:rsidRPr="00010FA1">
        <w:rPr>
          <w:rFonts w:ascii="Times New Roman" w:hAnsi="Times New Roman" w:cs="Times New Roman"/>
          <w:sz w:val="24"/>
          <w:szCs w:val="24"/>
          <w:lang w:val="en-AU"/>
        </w:rPr>
        <w:t xml:space="preserve">It is unlikely that the suspension will be enforced as management is appropriately motivated to undertake the changes in operations to prevent the cancellation of its licenses. </w:t>
      </w:r>
    </w:p>
    <w:p w:rsidR="00010FA1" w:rsidRPr="00010FA1" w:rsidRDefault="008356B1" w:rsidP="00062372">
      <w:pPr>
        <w:widowControl w:val="0"/>
        <w:spacing w:line="480" w:lineRule="auto"/>
        <w:ind w:firstLine="720"/>
        <w:contextualSpacing/>
        <w:rPr>
          <w:rFonts w:ascii="Times New Roman" w:hAnsi="Times New Roman" w:cs="Times New Roman"/>
          <w:sz w:val="24"/>
          <w:szCs w:val="24"/>
          <w:lang w:val="en-AU"/>
        </w:rPr>
      </w:pPr>
      <w:r>
        <w:rPr>
          <w:rFonts w:ascii="Times New Roman" w:hAnsi="Times New Roman" w:cs="Times New Roman"/>
          <w:sz w:val="24"/>
          <w:szCs w:val="24"/>
          <w:lang w:val="en-AU"/>
        </w:rPr>
        <w:t>However, at the company’s reporting date,</w:t>
      </w:r>
      <w:r w:rsidR="00062372">
        <w:rPr>
          <w:rFonts w:ascii="Times New Roman" w:hAnsi="Times New Roman" w:cs="Times New Roman"/>
          <w:sz w:val="24"/>
          <w:szCs w:val="24"/>
          <w:lang w:val="en-AU"/>
        </w:rPr>
        <w:t xml:space="preserve"> the inquiry into </w:t>
      </w:r>
      <w:r w:rsidR="00062372">
        <w:rPr>
          <w:rFonts w:ascii="Times New Roman" w:hAnsi="Times New Roman" w:cs="Times New Roman"/>
          <w:sz w:val="24"/>
          <w:szCs w:val="24"/>
          <w:lang w:val="en-AU"/>
        </w:rPr>
        <w:t xml:space="preserve">the </w:t>
      </w:r>
      <w:r w:rsidR="00062372">
        <w:rPr>
          <w:rFonts w:ascii="Times New Roman" w:hAnsi="Times New Roman" w:cs="Times New Roman"/>
          <w:sz w:val="24"/>
          <w:szCs w:val="24"/>
          <w:lang w:val="en-AU"/>
        </w:rPr>
        <w:t>legality of the casino’s practices was still underway and the likelihood that the casino’s</w:t>
      </w:r>
      <w:r w:rsidR="00062372">
        <w:rPr>
          <w:rFonts w:ascii="Times New Roman" w:hAnsi="Times New Roman" w:cs="Times New Roman"/>
          <w:sz w:val="24"/>
          <w:szCs w:val="24"/>
          <w:lang w:val="en-AU"/>
        </w:rPr>
        <w:t xml:space="preserve"> </w:t>
      </w:r>
      <w:r w:rsidR="00062372">
        <w:rPr>
          <w:rFonts w:ascii="Times New Roman" w:hAnsi="Times New Roman" w:cs="Times New Roman"/>
          <w:sz w:val="24"/>
          <w:szCs w:val="24"/>
          <w:lang w:val="en-AU"/>
        </w:rPr>
        <w:t>license</w:t>
      </w:r>
      <w:r w:rsidR="00062372">
        <w:rPr>
          <w:rFonts w:ascii="Times New Roman" w:hAnsi="Times New Roman" w:cs="Times New Roman"/>
          <w:sz w:val="24"/>
          <w:szCs w:val="24"/>
          <w:lang w:val="en-AU"/>
        </w:rPr>
        <w:t>s</w:t>
      </w:r>
      <w:r w:rsidR="00062372">
        <w:rPr>
          <w:rFonts w:ascii="Times New Roman" w:hAnsi="Times New Roman" w:cs="Times New Roman"/>
          <w:sz w:val="24"/>
          <w:szCs w:val="24"/>
          <w:lang w:val="en-AU"/>
        </w:rPr>
        <w:t xml:space="preserve"> would be suspended for the 90-day period was significant</w:t>
      </w:r>
      <w:r w:rsidR="00062372">
        <w:rPr>
          <w:rFonts w:ascii="Times New Roman" w:hAnsi="Times New Roman" w:cs="Times New Roman"/>
          <w:sz w:val="24"/>
          <w:szCs w:val="24"/>
          <w:lang w:val="en-AU"/>
        </w:rPr>
        <w:t xml:space="preserve">, </w:t>
      </w:r>
      <w:r>
        <w:rPr>
          <w:rFonts w:ascii="Times New Roman" w:hAnsi="Times New Roman" w:cs="Times New Roman"/>
          <w:sz w:val="24"/>
          <w:szCs w:val="24"/>
          <w:lang w:val="en-AU"/>
        </w:rPr>
        <w:t xml:space="preserve">which should have impacted the company’s valuation of its PPE and intangible assets. The decrease in the company’s share price between 22 and 23 August 2023 following the publication of its earnings report suggests that investors did not </w:t>
      </w:r>
      <w:r w:rsidRPr="008356B1">
        <w:rPr>
          <w:rFonts w:ascii="Times New Roman" w:hAnsi="Times New Roman" w:cs="Times New Roman"/>
          <w:sz w:val="24"/>
          <w:szCs w:val="24"/>
          <w:lang w:val="en-AU"/>
        </w:rPr>
        <w:t>believe</w:t>
      </w:r>
      <w:r>
        <w:rPr>
          <w:rFonts w:ascii="Times New Roman" w:hAnsi="Times New Roman" w:cs="Times New Roman"/>
          <w:sz w:val="24"/>
          <w:szCs w:val="24"/>
          <w:lang w:val="en-AU"/>
        </w:rPr>
        <w:t xml:space="preserve"> that</w:t>
      </w:r>
      <w:r w:rsidRPr="008356B1">
        <w:rPr>
          <w:rFonts w:ascii="Times New Roman" w:hAnsi="Times New Roman" w:cs="Times New Roman"/>
          <w:sz w:val="24"/>
          <w:szCs w:val="24"/>
          <w:lang w:val="en-AU"/>
        </w:rPr>
        <w:t xml:space="preserve"> the amount of impairment recognised by the company was a reasonable estimation of the economic reality</w:t>
      </w:r>
      <w:r>
        <w:rPr>
          <w:rFonts w:ascii="Times New Roman" w:hAnsi="Times New Roman" w:cs="Times New Roman"/>
          <w:sz w:val="24"/>
          <w:szCs w:val="24"/>
          <w:lang w:val="en-AU"/>
        </w:rPr>
        <w:t>.</w:t>
      </w:r>
    </w:p>
    <w:p w:rsidR="00875407" w:rsidRDefault="00875407" w:rsidP="006F4CD7">
      <w:pPr>
        <w:widowControl w:val="0"/>
        <w:spacing w:line="480" w:lineRule="auto"/>
        <w:contextualSpacing/>
        <w:rPr>
          <w:rFonts w:ascii="Times New Roman" w:hAnsi="Times New Roman" w:cs="Times New Roman"/>
          <w:sz w:val="24"/>
          <w:szCs w:val="24"/>
          <w:lang w:val="en-AU"/>
        </w:rPr>
      </w:pPr>
      <w:r>
        <w:rPr>
          <w:rFonts w:ascii="Times New Roman" w:hAnsi="Times New Roman" w:cs="Times New Roman"/>
          <w:sz w:val="24"/>
          <w:szCs w:val="24"/>
          <w:lang w:val="en-AU"/>
        </w:rPr>
        <w:lastRenderedPageBreak/>
        <w:br w:type="page"/>
      </w:r>
    </w:p>
    <w:p w:rsidR="00D57A39" w:rsidRDefault="00D57A39" w:rsidP="006F4CD7">
      <w:pPr>
        <w:widowControl w:val="0"/>
        <w:spacing w:line="480" w:lineRule="auto"/>
        <w:contextualSpacing/>
        <w:jc w:val="center"/>
        <w:rPr>
          <w:rFonts w:ascii="Times New Roman" w:hAnsi="Times New Roman" w:cs="Times New Roman"/>
          <w:sz w:val="24"/>
          <w:szCs w:val="24"/>
          <w:lang w:val="en-AU"/>
        </w:rPr>
      </w:pPr>
      <w:r w:rsidRPr="00CC3FC6">
        <w:rPr>
          <w:rFonts w:ascii="Times New Roman" w:hAnsi="Times New Roman" w:cs="Times New Roman"/>
          <w:sz w:val="24"/>
          <w:szCs w:val="24"/>
          <w:lang w:val="en-AU"/>
        </w:rPr>
        <w:lastRenderedPageBreak/>
        <w:t>References</w:t>
      </w:r>
    </w:p>
    <w:p w:rsidR="00875407" w:rsidRDefault="00CC3FC6" w:rsidP="006F4CD7">
      <w:pPr>
        <w:widowControl w:val="0"/>
        <w:spacing w:line="480" w:lineRule="auto"/>
        <w:contextualSpacing/>
        <w:rPr>
          <w:rFonts w:ascii="Times New Roman" w:hAnsi="Times New Roman" w:cs="Times New Roman"/>
          <w:sz w:val="24"/>
          <w:szCs w:val="24"/>
          <w:lang w:val="en-AU"/>
        </w:rPr>
      </w:pPr>
      <w:r>
        <w:rPr>
          <w:rFonts w:ascii="Times New Roman" w:hAnsi="Times New Roman" w:cs="Times New Roman"/>
          <w:sz w:val="24"/>
          <w:szCs w:val="24"/>
          <w:lang w:val="en-AU"/>
        </w:rPr>
        <w:t xml:space="preserve">AASB (2021). </w:t>
      </w:r>
      <w:r w:rsidRPr="00875407">
        <w:rPr>
          <w:rFonts w:ascii="Times New Roman" w:hAnsi="Times New Roman" w:cs="Times New Roman"/>
          <w:i/>
          <w:iCs/>
          <w:sz w:val="24"/>
          <w:szCs w:val="24"/>
          <w:lang w:val="en-AU"/>
        </w:rPr>
        <w:t>Compiled AASB standard: Impairment of assets</w:t>
      </w:r>
      <w:r>
        <w:rPr>
          <w:rFonts w:ascii="Times New Roman" w:hAnsi="Times New Roman" w:cs="Times New Roman"/>
          <w:sz w:val="24"/>
          <w:szCs w:val="24"/>
          <w:lang w:val="en-AU"/>
        </w:rPr>
        <w:t xml:space="preserve">. Retrieved from: </w:t>
      </w:r>
    </w:p>
    <w:p w:rsidR="00CC3FC6" w:rsidRDefault="00875407" w:rsidP="006F4CD7">
      <w:pPr>
        <w:widowControl w:val="0"/>
        <w:spacing w:line="480" w:lineRule="auto"/>
        <w:ind w:left="720"/>
        <w:contextualSpacing/>
        <w:rPr>
          <w:rFonts w:ascii="Times New Roman" w:hAnsi="Times New Roman" w:cs="Times New Roman"/>
          <w:sz w:val="24"/>
          <w:szCs w:val="24"/>
          <w:lang w:val="en-AU"/>
        </w:rPr>
      </w:pPr>
      <w:r w:rsidRPr="00875407">
        <w:rPr>
          <w:rFonts w:ascii="Times New Roman" w:hAnsi="Times New Roman" w:cs="Times New Roman"/>
          <w:sz w:val="24"/>
          <w:szCs w:val="24"/>
          <w:lang w:val="en-AU"/>
        </w:rPr>
        <w:t>https://www.aasb.gov.au/admin/file/content105/c9/AASB136_08-15_COMPmar20_07-21.pdf</w:t>
      </w:r>
    </w:p>
    <w:p w:rsidR="00875407" w:rsidRDefault="000377EF" w:rsidP="006F4CD7">
      <w:pPr>
        <w:widowControl w:val="0"/>
        <w:spacing w:line="480" w:lineRule="auto"/>
        <w:contextualSpacing/>
        <w:rPr>
          <w:rFonts w:ascii="Times New Roman" w:hAnsi="Times New Roman" w:cs="Times New Roman"/>
          <w:i/>
          <w:iCs/>
          <w:sz w:val="24"/>
          <w:szCs w:val="24"/>
          <w:lang w:val="en-AU"/>
        </w:rPr>
      </w:pPr>
      <w:r>
        <w:rPr>
          <w:rFonts w:ascii="Times New Roman" w:hAnsi="Times New Roman" w:cs="Times New Roman"/>
          <w:sz w:val="24"/>
          <w:szCs w:val="24"/>
          <w:lang w:val="en-AU"/>
        </w:rPr>
        <w:t xml:space="preserve">Gibbs, </w:t>
      </w:r>
      <w:r w:rsidR="00AC79DB">
        <w:rPr>
          <w:rFonts w:ascii="Times New Roman" w:hAnsi="Times New Roman" w:cs="Times New Roman"/>
          <w:sz w:val="24"/>
          <w:szCs w:val="24"/>
          <w:lang w:val="en-AU"/>
        </w:rPr>
        <w:t xml:space="preserve">E. </w:t>
      </w:r>
      <w:r>
        <w:rPr>
          <w:rFonts w:ascii="Times New Roman" w:hAnsi="Times New Roman" w:cs="Times New Roman"/>
          <w:sz w:val="24"/>
          <w:szCs w:val="24"/>
          <w:lang w:val="en-AU"/>
        </w:rPr>
        <w:t xml:space="preserve">(2022). </w:t>
      </w:r>
      <w:r w:rsidRPr="00875407">
        <w:rPr>
          <w:rFonts w:ascii="Times New Roman" w:hAnsi="Times New Roman" w:cs="Times New Roman"/>
          <w:i/>
          <w:iCs/>
          <w:sz w:val="24"/>
          <w:szCs w:val="24"/>
          <w:lang w:val="en-AU"/>
        </w:rPr>
        <w:t xml:space="preserve">Star Entertainment </w:t>
      </w:r>
      <w:r w:rsidR="00875407" w:rsidRPr="00875407">
        <w:rPr>
          <w:rFonts w:ascii="Times New Roman" w:hAnsi="Times New Roman" w:cs="Times New Roman"/>
          <w:i/>
          <w:iCs/>
          <w:sz w:val="24"/>
          <w:szCs w:val="24"/>
          <w:lang w:val="en-AU"/>
        </w:rPr>
        <w:t xml:space="preserve">faces new $100m fine, casino license suspension </w:t>
      </w:r>
      <w:r w:rsidRPr="00875407">
        <w:rPr>
          <w:rFonts w:ascii="Times New Roman" w:hAnsi="Times New Roman" w:cs="Times New Roman"/>
          <w:i/>
          <w:iCs/>
          <w:sz w:val="24"/>
          <w:szCs w:val="24"/>
          <w:lang w:val="en-AU"/>
        </w:rPr>
        <w:t xml:space="preserve">in </w:t>
      </w:r>
    </w:p>
    <w:p w:rsidR="000377EF" w:rsidRDefault="000377EF" w:rsidP="006F4CD7">
      <w:pPr>
        <w:widowControl w:val="0"/>
        <w:spacing w:line="480" w:lineRule="auto"/>
        <w:ind w:left="720"/>
        <w:contextualSpacing/>
        <w:rPr>
          <w:rFonts w:ascii="Times New Roman" w:hAnsi="Times New Roman" w:cs="Times New Roman"/>
          <w:sz w:val="24"/>
          <w:szCs w:val="24"/>
          <w:lang w:val="en-AU"/>
        </w:rPr>
      </w:pPr>
      <w:r w:rsidRPr="00875407">
        <w:rPr>
          <w:rFonts w:ascii="Times New Roman" w:hAnsi="Times New Roman" w:cs="Times New Roman"/>
          <w:i/>
          <w:iCs/>
          <w:sz w:val="24"/>
          <w:szCs w:val="24"/>
          <w:lang w:val="en-AU"/>
        </w:rPr>
        <w:t>Australia</w:t>
      </w:r>
      <w:r w:rsidR="00AC79DB" w:rsidRPr="00875407">
        <w:rPr>
          <w:rFonts w:ascii="Times New Roman" w:hAnsi="Times New Roman" w:cs="Times New Roman"/>
          <w:i/>
          <w:iCs/>
          <w:sz w:val="24"/>
          <w:szCs w:val="24"/>
          <w:lang w:val="en-AU"/>
        </w:rPr>
        <w:t>.</w:t>
      </w:r>
      <w:r w:rsidR="00AC79DB">
        <w:rPr>
          <w:rFonts w:ascii="Times New Roman" w:hAnsi="Times New Roman" w:cs="Times New Roman"/>
          <w:sz w:val="24"/>
          <w:szCs w:val="24"/>
          <w:lang w:val="en-AU"/>
        </w:rPr>
        <w:t xml:space="preserve"> Retrieved from </w:t>
      </w:r>
      <w:r w:rsidR="00AC79DB" w:rsidRPr="00AC79DB">
        <w:rPr>
          <w:rFonts w:ascii="Times New Roman" w:hAnsi="Times New Roman" w:cs="Times New Roman"/>
          <w:sz w:val="24"/>
          <w:szCs w:val="24"/>
          <w:lang w:val="en-AU"/>
        </w:rPr>
        <w:t>https://www.casino.org/news/star-entertainment-faces-new-100m-fine-casino-license-suspension-in-australia/</w:t>
      </w:r>
    </w:p>
    <w:p w:rsidR="00C15799" w:rsidRPr="00CC3FC6" w:rsidRDefault="00C15799" w:rsidP="006F4CD7">
      <w:pPr>
        <w:widowControl w:val="0"/>
        <w:spacing w:line="480" w:lineRule="auto"/>
        <w:contextualSpacing/>
        <w:rPr>
          <w:rFonts w:ascii="Times New Roman" w:hAnsi="Times New Roman" w:cs="Times New Roman"/>
          <w:sz w:val="24"/>
          <w:szCs w:val="24"/>
          <w:lang w:val="en-AU"/>
        </w:rPr>
      </w:pPr>
      <w:r>
        <w:rPr>
          <w:rFonts w:ascii="Times New Roman" w:hAnsi="Times New Roman" w:cs="Times New Roman"/>
          <w:sz w:val="24"/>
          <w:szCs w:val="24"/>
          <w:lang w:val="en-AU"/>
        </w:rPr>
        <w:t>The Star Entertainment Group</w:t>
      </w:r>
      <w:r w:rsidR="00875407">
        <w:rPr>
          <w:rFonts w:ascii="Times New Roman" w:hAnsi="Times New Roman" w:cs="Times New Roman"/>
          <w:sz w:val="24"/>
          <w:szCs w:val="24"/>
          <w:lang w:val="en-AU"/>
        </w:rPr>
        <w:t xml:space="preserve"> (2022). </w:t>
      </w:r>
      <w:r w:rsidR="00875407" w:rsidRPr="00875407">
        <w:rPr>
          <w:rFonts w:ascii="Times New Roman" w:hAnsi="Times New Roman" w:cs="Times New Roman"/>
          <w:i/>
          <w:iCs/>
          <w:sz w:val="24"/>
          <w:szCs w:val="24"/>
          <w:lang w:val="en-AU"/>
        </w:rPr>
        <w:t>Annual report</w:t>
      </w:r>
      <w:r w:rsidR="00875407">
        <w:rPr>
          <w:rFonts w:ascii="Times New Roman" w:hAnsi="Times New Roman" w:cs="Times New Roman"/>
          <w:sz w:val="24"/>
          <w:szCs w:val="24"/>
          <w:lang w:val="en-AU"/>
        </w:rPr>
        <w:t>.</w:t>
      </w:r>
    </w:p>
    <w:p w:rsidR="00875407" w:rsidRDefault="00C35FF5" w:rsidP="006F4CD7">
      <w:pPr>
        <w:widowControl w:val="0"/>
        <w:spacing w:line="480" w:lineRule="auto"/>
        <w:contextualSpacing/>
        <w:rPr>
          <w:rFonts w:ascii="Times New Roman" w:hAnsi="Times New Roman" w:cs="Times New Roman"/>
          <w:sz w:val="24"/>
          <w:szCs w:val="24"/>
          <w:lang w:val="en-AU"/>
        </w:rPr>
      </w:pPr>
      <w:r>
        <w:rPr>
          <w:rFonts w:ascii="Times New Roman" w:hAnsi="Times New Roman" w:cs="Times New Roman"/>
          <w:sz w:val="24"/>
          <w:szCs w:val="24"/>
          <w:lang w:val="en-AU"/>
        </w:rPr>
        <w:t xml:space="preserve">Wooton, H., Baird, L., &amp; Fowler, E. (2022). </w:t>
      </w:r>
      <w:r w:rsidRPr="00875407">
        <w:rPr>
          <w:rFonts w:ascii="Times New Roman" w:hAnsi="Times New Roman" w:cs="Times New Roman"/>
          <w:i/>
          <w:iCs/>
          <w:sz w:val="24"/>
          <w:szCs w:val="24"/>
          <w:lang w:val="en-AU"/>
        </w:rPr>
        <w:t>Inquiry finds Star unfit to hold licence</w:t>
      </w:r>
      <w:r>
        <w:rPr>
          <w:rFonts w:ascii="Times New Roman" w:hAnsi="Times New Roman" w:cs="Times New Roman"/>
          <w:sz w:val="24"/>
          <w:szCs w:val="24"/>
          <w:lang w:val="en-AU"/>
        </w:rPr>
        <w:t xml:space="preserve">. Retrieved </w:t>
      </w:r>
    </w:p>
    <w:p w:rsidR="00D57A39" w:rsidRPr="00CC3FC6" w:rsidRDefault="00C35FF5" w:rsidP="006F4CD7">
      <w:pPr>
        <w:widowControl w:val="0"/>
        <w:spacing w:line="480" w:lineRule="auto"/>
        <w:ind w:left="720"/>
        <w:contextualSpacing/>
        <w:rPr>
          <w:rFonts w:ascii="Times New Roman" w:hAnsi="Times New Roman" w:cs="Times New Roman"/>
          <w:sz w:val="24"/>
          <w:szCs w:val="24"/>
          <w:lang w:val="en-AU"/>
        </w:rPr>
      </w:pPr>
      <w:r>
        <w:rPr>
          <w:rFonts w:ascii="Times New Roman" w:hAnsi="Times New Roman" w:cs="Times New Roman"/>
          <w:sz w:val="24"/>
          <w:szCs w:val="24"/>
          <w:lang w:val="en-AU"/>
        </w:rPr>
        <w:t xml:space="preserve">from: </w:t>
      </w:r>
      <w:r w:rsidRPr="00C35FF5">
        <w:rPr>
          <w:rFonts w:ascii="Times New Roman" w:hAnsi="Times New Roman" w:cs="Times New Roman"/>
          <w:sz w:val="24"/>
          <w:szCs w:val="24"/>
          <w:lang w:val="en-AU"/>
        </w:rPr>
        <w:t>https://www.afr.com/companies/games-and-wagering/star-unsuitable-to-hold-licence-but-may-get-second-chance-20220913-p5bhlp</w:t>
      </w:r>
    </w:p>
    <w:sectPr w:rsidR="00D57A39" w:rsidRPr="00CC3F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F997472"/>
    <w:multiLevelType w:val="hybridMultilevel"/>
    <w:tmpl w:val="6AEA07C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546485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B71"/>
    <w:rsid w:val="00010FA1"/>
    <w:rsid w:val="000377EF"/>
    <w:rsid w:val="00062372"/>
    <w:rsid w:val="00086D90"/>
    <w:rsid w:val="00115C45"/>
    <w:rsid w:val="0019207E"/>
    <w:rsid w:val="001D1986"/>
    <w:rsid w:val="001F66AE"/>
    <w:rsid w:val="002C74DB"/>
    <w:rsid w:val="00352713"/>
    <w:rsid w:val="00386B71"/>
    <w:rsid w:val="003C327C"/>
    <w:rsid w:val="0046312D"/>
    <w:rsid w:val="004E04B9"/>
    <w:rsid w:val="004E38F3"/>
    <w:rsid w:val="00551CB2"/>
    <w:rsid w:val="0059505F"/>
    <w:rsid w:val="00671C43"/>
    <w:rsid w:val="00695EF7"/>
    <w:rsid w:val="006D0D21"/>
    <w:rsid w:val="006F4CD7"/>
    <w:rsid w:val="008356B1"/>
    <w:rsid w:val="00875407"/>
    <w:rsid w:val="00921F51"/>
    <w:rsid w:val="0097285C"/>
    <w:rsid w:val="00A23949"/>
    <w:rsid w:val="00A356EB"/>
    <w:rsid w:val="00A82294"/>
    <w:rsid w:val="00AC79DB"/>
    <w:rsid w:val="00B740E9"/>
    <w:rsid w:val="00C15799"/>
    <w:rsid w:val="00C35FF5"/>
    <w:rsid w:val="00CC3FC6"/>
    <w:rsid w:val="00D57A39"/>
    <w:rsid w:val="00D80198"/>
    <w:rsid w:val="00E3476F"/>
    <w:rsid w:val="00E363CC"/>
    <w:rsid w:val="00EC7D5C"/>
    <w:rsid w:val="00F41C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863764"/>
  <w15:chartTrackingRefBased/>
  <w15:docId w15:val="{38C2067A-7959-49EB-981F-8A241A098D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6B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1705204">
      <w:bodyDiv w:val="1"/>
      <w:marLeft w:val="0"/>
      <w:marRight w:val="0"/>
      <w:marTop w:val="0"/>
      <w:marBottom w:val="0"/>
      <w:divBdr>
        <w:top w:val="none" w:sz="0" w:space="0" w:color="auto"/>
        <w:left w:val="none" w:sz="0" w:space="0" w:color="auto"/>
        <w:bottom w:val="none" w:sz="0" w:space="0" w:color="auto"/>
        <w:right w:val="none" w:sz="0" w:space="0" w:color="auto"/>
      </w:divBdr>
    </w:div>
    <w:div w:id="1933201850">
      <w:bodyDiv w:val="1"/>
      <w:marLeft w:val="0"/>
      <w:marRight w:val="0"/>
      <w:marTop w:val="0"/>
      <w:marBottom w:val="0"/>
      <w:divBdr>
        <w:top w:val="none" w:sz="0" w:space="0" w:color="auto"/>
        <w:left w:val="none" w:sz="0" w:space="0" w:color="auto"/>
        <w:bottom w:val="none" w:sz="0" w:space="0" w:color="auto"/>
        <w:right w:val="none" w:sz="0" w:space="0" w:color="auto"/>
      </w:divBdr>
    </w:div>
    <w:div w:id="2118717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228</TotalTime>
  <Pages>7</Pages>
  <Words>1314</Words>
  <Characters>7496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27</cp:revision>
  <dcterms:created xsi:type="dcterms:W3CDTF">2023-01-10T04:27:00Z</dcterms:created>
  <dcterms:modified xsi:type="dcterms:W3CDTF">2023-01-11T13:59:00Z</dcterms:modified>
</cp:coreProperties>
</file>