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A1C" w:rsidRPr="00D66A1C" w:rsidRDefault="00D66A1C" w:rsidP="00D66A1C">
      <w:pPr>
        <w:ind w:firstLine="0"/>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Explanations of European Golden Age</w:t>
      </w:r>
    </w:p>
    <w:p w:rsidR="00D66A1C" w:rsidRPr="00D66A1C" w:rsidRDefault="00D66A1C" w:rsidP="00D66A1C">
      <w:pPr>
        <w:ind w:firstLine="0"/>
        <w:rPr>
          <w:rFonts w:ascii="Times New Roman" w:hAnsi="Times New Roman"/>
          <w:color w:val="222222"/>
          <w:shd w:val="clear" w:color="auto" w:fill="FFFFFF"/>
        </w:rPr>
      </w:pPr>
      <w:bookmarkStart w:id="0" w:name="_GoBack"/>
      <w:bookmarkEnd w:id="0"/>
      <w:r w:rsidRPr="00D66A1C">
        <w:rPr>
          <w:rFonts w:ascii="Times New Roman" w:hAnsi="Times New Roman"/>
          <w:color w:val="222222"/>
          <w:shd w:val="clear" w:color="auto" w:fill="FFFFFF"/>
        </w:rPr>
        <w:t xml:space="preserve">A golden age refers to a period in the endeavor field when significant tasks were accomplished. European Golden Age is the term used to refer to the economic development that took place in Europe after the Second World War. The “Golden Age” in Europe took place between the 1950s and early 1970s, where notable economic growth was reported in Western </w:t>
      </w:r>
      <w:proofErr w:type="gramStart"/>
      <w:r w:rsidRPr="00D66A1C">
        <w:rPr>
          <w:rFonts w:ascii="Times New Roman" w:hAnsi="Times New Roman"/>
          <w:color w:val="222222"/>
          <w:shd w:val="clear" w:color="auto" w:fill="FFFFFF"/>
        </w:rPr>
        <w:t>Europe .</w:t>
      </w:r>
      <w:proofErr w:type="gramEnd"/>
      <w:r w:rsidRPr="00D66A1C">
        <w:rPr>
          <w:rFonts w:ascii="Times New Roman" w:hAnsi="Times New Roman"/>
          <w:color w:val="222222"/>
          <w:shd w:val="clear" w:color="auto" w:fill="FFFFFF"/>
        </w:rPr>
        <w:t xml:space="preserve"> Due to the immediate economic growth in Europe, economists and scholars have provided various explanations related to sources of the rapid growth immediately after WW II and the slow down towards the early 1970s. </w:t>
      </w:r>
    </w:p>
    <w:p w:rsidR="00D66A1C" w:rsidRPr="00D66A1C" w:rsidRDefault="00D66A1C" w:rsidP="00D66A1C">
      <w:pPr>
        <w:ind w:firstLine="0"/>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Demand and Supply trends as factors that influenced growth pre and post-war</w:t>
      </w:r>
    </w:p>
    <w:p w:rsidR="00D66A1C"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t xml:space="preserve">As shown in the table below, the difference between growth GDP per capita and GDP emanates from a gradual slowdown concerning population </w:t>
      </w:r>
      <w:proofErr w:type="gramStart"/>
      <w:r w:rsidRPr="00D66A1C">
        <w:rPr>
          <w:rFonts w:ascii="Times New Roman" w:hAnsi="Times New Roman"/>
          <w:color w:val="222222"/>
          <w:shd w:val="clear" w:color="auto" w:fill="FFFFFF"/>
        </w:rPr>
        <w:t>growth .</w:t>
      </w:r>
      <w:proofErr w:type="gramEnd"/>
      <w:r w:rsidRPr="00D66A1C">
        <w:rPr>
          <w:rFonts w:ascii="Times New Roman" w:hAnsi="Times New Roman"/>
          <w:color w:val="222222"/>
          <w:shd w:val="clear" w:color="auto" w:fill="FFFFFF"/>
        </w:rPr>
        <w:t xml:space="preserve"> As illustrated in the table during recent years, the GDP per </w:t>
      </w:r>
      <w:proofErr w:type="spellStart"/>
      <w:r w:rsidRPr="00D66A1C">
        <w:rPr>
          <w:rFonts w:ascii="Times New Roman" w:hAnsi="Times New Roman"/>
          <w:color w:val="222222"/>
          <w:shd w:val="clear" w:color="auto" w:fill="FFFFFF"/>
        </w:rPr>
        <w:t>capita's</w:t>
      </w:r>
      <w:proofErr w:type="spellEnd"/>
      <w:r w:rsidRPr="00D66A1C">
        <w:rPr>
          <w:rFonts w:ascii="Times New Roman" w:hAnsi="Times New Roman"/>
          <w:color w:val="222222"/>
          <w:shd w:val="clear" w:color="auto" w:fill="FFFFFF"/>
        </w:rPr>
        <w:t xml:space="preserve"> growth rate tends to be a similar rate before the Great War. Western Europe initially experienced slow growth between the two periods, and the subsequent growth took place rapidly.</w:t>
      </w:r>
    </w:p>
    <w:p w:rsidR="00D66A1C" w:rsidRPr="00D66A1C" w:rsidRDefault="00D66A1C" w:rsidP="00D66A1C">
      <w:pPr>
        <w:pStyle w:val="ListParagraph"/>
        <w:numPr>
          <w:ilvl w:val="0"/>
          <w:numId w:val="8"/>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The slow growth between 1930 and 1950 was due to the two world wars and the Great Depression.</w:t>
      </w:r>
    </w:p>
    <w:p w:rsidR="00D66A1C" w:rsidRPr="00D66A1C" w:rsidRDefault="00D66A1C" w:rsidP="00D66A1C">
      <w:pPr>
        <w:pStyle w:val="ListParagraph"/>
        <w:numPr>
          <w:ilvl w:val="0"/>
          <w:numId w:val="8"/>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The Great Depression was characterized by declined demand, industrial production, and price fall.</w:t>
      </w:r>
    </w:p>
    <w:p w:rsidR="00D66A1C" w:rsidRPr="00D66A1C" w:rsidRDefault="00D66A1C" w:rsidP="00D66A1C">
      <w:pPr>
        <w:pStyle w:val="ListParagraph"/>
        <w:numPr>
          <w:ilvl w:val="0"/>
          <w:numId w:val="8"/>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The events had adverse effects on the aggregate supply curve rather than shifting the curve. Although wars had a significant impact on the supply concept, demand was also affected. Therefore, the slow growth could be attributed to deficient aggregate demand.</w:t>
      </w:r>
    </w:p>
    <w:p w:rsidR="00D66A1C" w:rsidRPr="00D66A1C" w:rsidRDefault="00D66A1C" w:rsidP="00D66A1C">
      <w:pPr>
        <w:ind w:firstLine="0"/>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Catching-up is another model explaining European Golden Age</w:t>
      </w:r>
    </w:p>
    <w:p w:rsidR="00D66A1C"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lastRenderedPageBreak/>
        <w:t xml:space="preserve">The explanations argue that the West European industrialized countries managed to capitalize on the initial unexploited technology. The catch-up hypothesis asserts that the backwardness concerning productivity level comes along with a potential for rapid advancement. Comparatively, the growth rates of productivity in a long period tend to be inversely proportioned to the initial productivity </w:t>
      </w:r>
      <w:proofErr w:type="gramStart"/>
      <w:r w:rsidRPr="00D66A1C">
        <w:rPr>
          <w:rFonts w:ascii="Times New Roman" w:hAnsi="Times New Roman"/>
          <w:color w:val="222222"/>
          <w:shd w:val="clear" w:color="auto" w:fill="FFFFFF"/>
        </w:rPr>
        <w:t>levels .</w:t>
      </w:r>
      <w:proofErr w:type="gramEnd"/>
    </w:p>
    <w:p w:rsidR="00D66A1C" w:rsidRPr="00D66A1C" w:rsidRDefault="00D66A1C" w:rsidP="00D66A1C">
      <w:pPr>
        <w:pStyle w:val="ListParagraph"/>
        <w:numPr>
          <w:ilvl w:val="0"/>
          <w:numId w:val="9"/>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The assumption becomes realistic when the country has a social capability to ensure a certain type of technology is absorbed.</w:t>
      </w:r>
    </w:p>
    <w:p w:rsidR="00D66A1C" w:rsidRPr="00D66A1C" w:rsidRDefault="00D66A1C" w:rsidP="00D66A1C">
      <w:pPr>
        <w:pStyle w:val="ListParagraph"/>
        <w:numPr>
          <w:ilvl w:val="0"/>
          <w:numId w:val="9"/>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When an organization is seeking to exploit a technological opportunity, the success is based on human capital and institutions, which form part of the primary components for social capability. </w:t>
      </w:r>
    </w:p>
    <w:p w:rsidR="00D66A1C" w:rsidRPr="00D66A1C" w:rsidRDefault="00D66A1C" w:rsidP="00D66A1C">
      <w:pPr>
        <w:pStyle w:val="ListParagraph"/>
        <w:numPr>
          <w:ilvl w:val="0"/>
          <w:numId w:val="9"/>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Other factors that would affect the catch-up rate include resource mobility, diffusion of knowledge, and investment rate. </w:t>
      </w:r>
    </w:p>
    <w:p w:rsidR="00D66A1C" w:rsidRPr="00D66A1C" w:rsidRDefault="00D66A1C" w:rsidP="00D66A1C">
      <w:pPr>
        <w:pStyle w:val="ListParagraph"/>
        <w:numPr>
          <w:ilvl w:val="0"/>
          <w:numId w:val="9"/>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After WW II, France undertook significant extension and modernization of the power systems and public transportation to provide a foundation for future development of agriculture and industry.</w:t>
      </w:r>
    </w:p>
    <w:p w:rsidR="00D66A1C" w:rsidRPr="00D66A1C" w:rsidRDefault="00D66A1C" w:rsidP="00D66A1C">
      <w:pPr>
        <w:ind w:firstLine="0"/>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Role of institutions in reconstruction and growth</w:t>
      </w:r>
    </w:p>
    <w:p w:rsidR="00D66A1C"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t xml:space="preserve">Between the 1950s and 1960s, the openness of the European economies and growth of the exports expanded by 8% due to the institutions that supported the development of the economic </w:t>
      </w:r>
      <w:proofErr w:type="gramStart"/>
      <w:r w:rsidRPr="00D66A1C">
        <w:rPr>
          <w:rFonts w:ascii="Times New Roman" w:hAnsi="Times New Roman"/>
          <w:color w:val="222222"/>
          <w:shd w:val="clear" w:color="auto" w:fill="FFFFFF"/>
        </w:rPr>
        <w:t>growth .</w:t>
      </w:r>
      <w:proofErr w:type="gramEnd"/>
      <w:r w:rsidRPr="00D66A1C">
        <w:rPr>
          <w:rFonts w:ascii="Times New Roman" w:hAnsi="Times New Roman"/>
          <w:color w:val="222222"/>
          <w:shd w:val="clear" w:color="auto" w:fill="FFFFFF"/>
        </w:rPr>
        <w:t xml:space="preserve"> The institutions were vocal in solving commitment and coordination problems in whose presence enhanced or weakened international trade. From the domestic perspective, economic and social institutions distributed information and monitored the compliance of interest groups. The compliance contained an agreement that moderated wage claims and boosted investment. </w:t>
      </w:r>
      <w:r w:rsidRPr="00D66A1C">
        <w:rPr>
          <w:rFonts w:ascii="Times New Roman" w:hAnsi="Times New Roman"/>
          <w:color w:val="222222"/>
          <w:shd w:val="clear" w:color="auto" w:fill="FFFFFF"/>
        </w:rPr>
        <w:lastRenderedPageBreak/>
        <w:t xml:space="preserve">The model features domestic and international institutions, which facilitated the rapid economic growth in Europe. </w:t>
      </w:r>
    </w:p>
    <w:p w:rsidR="00D66A1C" w:rsidRPr="00D66A1C" w:rsidRDefault="00D66A1C" w:rsidP="00D66A1C">
      <w:pPr>
        <w:pStyle w:val="ListParagraph"/>
        <w:numPr>
          <w:ilvl w:val="0"/>
          <w:numId w:val="6"/>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The model molds a dynamic collaboration between labor and capital structure containing a common structure in the domestic institutions.</w:t>
      </w:r>
    </w:p>
    <w:p w:rsidR="00D66A1C" w:rsidRPr="00D66A1C" w:rsidRDefault="00D66A1C" w:rsidP="00D66A1C">
      <w:pPr>
        <w:pStyle w:val="ListParagraph"/>
        <w:numPr>
          <w:ilvl w:val="0"/>
          <w:numId w:val="6"/>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 welfare becomes optimum when the labor and capitalists deter compensation for the sake of future returns. </w:t>
      </w:r>
    </w:p>
    <w:p w:rsidR="00D66A1C" w:rsidRPr="00D66A1C" w:rsidRDefault="00D66A1C" w:rsidP="00D66A1C">
      <w:pPr>
        <w:pStyle w:val="ListParagraph"/>
        <w:numPr>
          <w:ilvl w:val="0"/>
          <w:numId w:val="6"/>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 workers tend to regulate their claims for additional wages, which is channeled to the institution to boost investment. </w:t>
      </w:r>
    </w:p>
    <w:p w:rsidR="00D66A1C" w:rsidRPr="00D66A1C" w:rsidRDefault="00D66A1C" w:rsidP="00D66A1C">
      <w:pPr>
        <w:pStyle w:val="ListParagraph"/>
        <w:numPr>
          <w:ilvl w:val="0"/>
          <w:numId w:val="6"/>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 capitalists also reduce their dividends payout to re-invest the money. Investment is the critical factor behind rapid economic growth, which yields profits for both workers and the capitalists. </w:t>
      </w:r>
    </w:p>
    <w:p w:rsidR="00D66A1C" w:rsidRPr="00D66A1C" w:rsidRDefault="00D66A1C" w:rsidP="00D66A1C">
      <w:pPr>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Cooperative</w:t>
      </w:r>
      <w:r w:rsidRPr="00D66A1C">
        <w:rPr>
          <w:rFonts w:ascii="Times New Roman" w:hAnsi="Times New Roman"/>
          <w:b/>
          <w:color w:val="222222"/>
          <w:shd w:val="clear" w:color="auto" w:fill="FFFFFF"/>
        </w:rPr>
        <w:t xml:space="preserve"> equilibrium</w:t>
      </w:r>
    </w:p>
    <w:p w:rsidR="00D66A1C"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t xml:space="preserve"> In the concept of cooperative equilibrium, the workers and the capitalists practice restraint, which is the costs of the preceding current consumption for future profits that both parties accrue. After World War II, the economic and social institutions developed in Europe can reinforce the problem emanating from the inconsistency of cooperative equilibrium. </w:t>
      </w:r>
    </w:p>
    <w:p w:rsidR="00D66A1C"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t xml:space="preserve">Secondly, international institutions played a role in enhancing trade beyond Europe. For an investment to be worthwhile and stimulate growth, the market must be available for the produced goods. </w:t>
      </w:r>
    </w:p>
    <w:p w:rsidR="00D66A1C" w:rsidRPr="00D66A1C" w:rsidRDefault="00D66A1C" w:rsidP="00D66A1C">
      <w:pPr>
        <w:pStyle w:val="ListParagraph"/>
        <w:numPr>
          <w:ilvl w:val="0"/>
          <w:numId w:val="7"/>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Intra-European trade and international trade enabled the countries to focus on producing goods they had an advantage and which they could produce beyond the capacity of local demand. </w:t>
      </w:r>
    </w:p>
    <w:p w:rsidR="00D66A1C" w:rsidRPr="00D66A1C" w:rsidRDefault="00D66A1C" w:rsidP="00D66A1C">
      <w:pPr>
        <w:pStyle w:val="ListParagraph"/>
        <w:numPr>
          <w:ilvl w:val="0"/>
          <w:numId w:val="7"/>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lastRenderedPageBreak/>
        <w:t>However, the expansion came with commitment and coordination problems. International institutions were vital in solving the problems.</w:t>
      </w:r>
    </w:p>
    <w:p w:rsidR="00D66A1C" w:rsidRPr="00D66A1C" w:rsidRDefault="00D66A1C" w:rsidP="00D66A1C">
      <w:pPr>
        <w:pStyle w:val="ListParagraph"/>
        <w:numPr>
          <w:ilvl w:val="0"/>
          <w:numId w:val="7"/>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 European Coal and Steel Community (ECSC) developed monitoring and surveillance technologies that would enable the German industry to access French iron ore and the French steel industry to access German coal. </w:t>
      </w:r>
    </w:p>
    <w:p w:rsidR="00D66A1C" w:rsidRPr="00D66A1C" w:rsidRDefault="00D66A1C" w:rsidP="00D66A1C">
      <w:pPr>
        <w:pStyle w:val="ListParagraph"/>
        <w:numPr>
          <w:ilvl w:val="0"/>
          <w:numId w:val="7"/>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 European Payment Union (EPU) was responsible for coordinating simultaneous movement within European countries, thus easing conversion of currency intra-European current account transactions. </w:t>
      </w:r>
    </w:p>
    <w:p w:rsidR="00D66A1C" w:rsidRPr="00D66A1C" w:rsidRDefault="00D66A1C" w:rsidP="00D66A1C">
      <w:pPr>
        <w:ind w:firstLine="0"/>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The explanation that appears to be convincing</w:t>
      </w:r>
    </w:p>
    <w:p w:rsidR="00D66A1C"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t xml:space="preserve"> From the three discussed explanations relating to European Golden Age, the one that appears convincing relates to the role of institutions in reconstruction and growth. The explanation based on the role of institutions explains the specific duties the institutions played in enhancing economic growth. Not only providing the role of the institutions, but the argument also mentions key examples of the institutions involved in the development.</w:t>
      </w:r>
    </w:p>
    <w:p w:rsidR="00D66A1C" w:rsidRPr="00D66A1C" w:rsidRDefault="00D66A1C" w:rsidP="00D66A1C">
      <w:pPr>
        <w:pStyle w:val="ListParagraph"/>
        <w:numPr>
          <w:ilvl w:val="0"/>
          <w:numId w:val="5"/>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 domestic institutions played a critical enhancing the bond between the workers and the capitalists concerning the investments that were to benefit them. </w:t>
      </w:r>
    </w:p>
    <w:p w:rsidR="00D66A1C" w:rsidRPr="00D66A1C" w:rsidRDefault="00D66A1C" w:rsidP="00D66A1C">
      <w:pPr>
        <w:pStyle w:val="ListParagraph"/>
        <w:numPr>
          <w:ilvl w:val="0"/>
          <w:numId w:val="5"/>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After the Second World War, various social and economic institutions were established in Europe to foster collaboration among key players in the economy. </w:t>
      </w:r>
    </w:p>
    <w:p w:rsidR="00D66A1C" w:rsidRPr="00D66A1C" w:rsidRDefault="00D66A1C" w:rsidP="00D66A1C">
      <w:pPr>
        <w:pStyle w:val="ListParagraph"/>
        <w:numPr>
          <w:ilvl w:val="0"/>
          <w:numId w:val="5"/>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Secondly, economic growth becomes intense when international trade gains pace. The explanations acknowledge the existence of barriers in international trade.</w:t>
      </w:r>
    </w:p>
    <w:p w:rsidR="00D66A1C" w:rsidRPr="00D66A1C" w:rsidRDefault="00D66A1C" w:rsidP="00D66A1C">
      <w:pPr>
        <w:pStyle w:val="ListParagraph"/>
        <w:numPr>
          <w:ilvl w:val="0"/>
          <w:numId w:val="5"/>
        </w:numPr>
        <w:spacing w:line="480" w:lineRule="auto"/>
        <w:rPr>
          <w:rFonts w:ascii="Times New Roman" w:hAnsi="Times New Roman"/>
          <w:color w:val="222222"/>
          <w:sz w:val="24"/>
          <w:szCs w:val="24"/>
          <w:shd w:val="clear" w:color="auto" w:fill="FFFFFF"/>
        </w:rPr>
      </w:pPr>
      <w:r w:rsidRPr="00D66A1C">
        <w:rPr>
          <w:rFonts w:ascii="Times New Roman" w:hAnsi="Times New Roman"/>
          <w:color w:val="222222"/>
          <w:sz w:val="24"/>
          <w:szCs w:val="24"/>
          <w:shd w:val="clear" w:color="auto" w:fill="FFFFFF"/>
        </w:rPr>
        <w:t xml:space="preserve">Therefore, international trade becomes effective when the problems are addressed. </w:t>
      </w:r>
    </w:p>
    <w:p w:rsidR="00D66A1C" w:rsidRPr="00D66A1C" w:rsidRDefault="00D66A1C" w:rsidP="00D66A1C">
      <w:pPr>
        <w:ind w:firstLine="0"/>
        <w:jc w:val="center"/>
        <w:rPr>
          <w:rFonts w:ascii="Times New Roman" w:hAnsi="Times New Roman"/>
          <w:b/>
          <w:color w:val="222222"/>
          <w:shd w:val="clear" w:color="auto" w:fill="FFFFFF"/>
        </w:rPr>
      </w:pPr>
      <w:r w:rsidRPr="00D66A1C">
        <w:rPr>
          <w:rFonts w:ascii="Times New Roman" w:hAnsi="Times New Roman"/>
          <w:b/>
          <w:color w:val="222222"/>
          <w:shd w:val="clear" w:color="auto" w:fill="FFFFFF"/>
        </w:rPr>
        <w:t>Summary</w:t>
      </w:r>
    </w:p>
    <w:p w:rsidR="00826603" w:rsidRPr="00D66A1C" w:rsidRDefault="00D66A1C" w:rsidP="00D66A1C">
      <w:pPr>
        <w:ind w:firstLine="0"/>
        <w:rPr>
          <w:rFonts w:ascii="Times New Roman" w:hAnsi="Times New Roman"/>
          <w:color w:val="222222"/>
          <w:shd w:val="clear" w:color="auto" w:fill="FFFFFF"/>
        </w:rPr>
      </w:pPr>
      <w:r w:rsidRPr="00D66A1C">
        <w:rPr>
          <w:rFonts w:ascii="Times New Roman" w:hAnsi="Times New Roman"/>
          <w:color w:val="222222"/>
          <w:shd w:val="clear" w:color="auto" w:fill="FFFFFF"/>
        </w:rPr>
        <w:lastRenderedPageBreak/>
        <w:t>In conclusion, the European Golden Age represents a period when Europe experienced rapid economic growth. The paper discussed three explanations relating to the reasons why economic trade was experienced. The role of both domestic and international institutions was identified as being the most convincing argument. Attaining economic development could be difficult if such institutions failed to exist and offer required solutions to the problems that came after the world wars.</w:t>
      </w:r>
    </w:p>
    <w:sectPr w:rsidR="00826603" w:rsidRPr="00D66A1C">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79C" w:rsidRDefault="0009179C" w:rsidP="001A298D">
      <w:pPr>
        <w:spacing w:line="240" w:lineRule="auto"/>
      </w:pPr>
      <w:r>
        <w:separator/>
      </w:r>
    </w:p>
  </w:endnote>
  <w:endnote w:type="continuationSeparator" w:id="0">
    <w:p w:rsidR="0009179C" w:rsidRDefault="0009179C" w:rsidP="001A2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79C" w:rsidRDefault="0009179C" w:rsidP="001A298D">
      <w:pPr>
        <w:spacing w:line="240" w:lineRule="auto"/>
      </w:pPr>
      <w:r>
        <w:separator/>
      </w:r>
    </w:p>
  </w:footnote>
  <w:footnote w:type="continuationSeparator" w:id="0">
    <w:p w:rsidR="0009179C" w:rsidRDefault="0009179C" w:rsidP="001A29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B56" w:rsidRDefault="00712DB8" w:rsidP="00712DB8">
    <w:pPr>
      <w:pStyle w:val="Header"/>
      <w:tabs>
        <w:tab w:val="clear" w:pos="4680"/>
        <w:tab w:val="clear" w:pos="9360"/>
        <w:tab w:val="left" w:pos="25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73E16"/>
    <w:multiLevelType w:val="hybridMultilevel"/>
    <w:tmpl w:val="193465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B4584D"/>
    <w:multiLevelType w:val="hybridMultilevel"/>
    <w:tmpl w:val="AA32AA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1B64ED9"/>
    <w:multiLevelType w:val="hybridMultilevel"/>
    <w:tmpl w:val="4702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26436"/>
    <w:multiLevelType w:val="hybridMultilevel"/>
    <w:tmpl w:val="85C4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265A9"/>
    <w:multiLevelType w:val="hybridMultilevel"/>
    <w:tmpl w:val="AD8C8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631721"/>
    <w:multiLevelType w:val="hybridMultilevel"/>
    <w:tmpl w:val="EF1EFA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33556D3"/>
    <w:multiLevelType w:val="hybridMultilevel"/>
    <w:tmpl w:val="3B52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544477"/>
    <w:multiLevelType w:val="hybridMultilevel"/>
    <w:tmpl w:val="8F9E2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FC6704"/>
    <w:multiLevelType w:val="hybridMultilevel"/>
    <w:tmpl w:val="BA76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7"/>
  </w:num>
  <w:num w:numId="6">
    <w:abstractNumId w:val="2"/>
  </w:num>
  <w:num w:numId="7">
    <w:abstractNumId w:val="3"/>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2F1"/>
    <w:rsid w:val="00006651"/>
    <w:rsid w:val="00007323"/>
    <w:rsid w:val="0001613F"/>
    <w:rsid w:val="00016E3C"/>
    <w:rsid w:val="0002016F"/>
    <w:rsid w:val="0002068F"/>
    <w:rsid w:val="00025C65"/>
    <w:rsid w:val="0002608F"/>
    <w:rsid w:val="00027933"/>
    <w:rsid w:val="00030EB8"/>
    <w:rsid w:val="00032BF8"/>
    <w:rsid w:val="000332CE"/>
    <w:rsid w:val="00034940"/>
    <w:rsid w:val="00036197"/>
    <w:rsid w:val="00040AAE"/>
    <w:rsid w:val="000413AB"/>
    <w:rsid w:val="00045336"/>
    <w:rsid w:val="00050CFD"/>
    <w:rsid w:val="00051C69"/>
    <w:rsid w:val="00064D1B"/>
    <w:rsid w:val="00065DFC"/>
    <w:rsid w:val="0006645B"/>
    <w:rsid w:val="0007590D"/>
    <w:rsid w:val="000775BD"/>
    <w:rsid w:val="00080195"/>
    <w:rsid w:val="000804B1"/>
    <w:rsid w:val="00083E4E"/>
    <w:rsid w:val="00085BDE"/>
    <w:rsid w:val="000865A9"/>
    <w:rsid w:val="000866AC"/>
    <w:rsid w:val="0009179C"/>
    <w:rsid w:val="000933B0"/>
    <w:rsid w:val="000A415D"/>
    <w:rsid w:val="000A497F"/>
    <w:rsid w:val="000A5100"/>
    <w:rsid w:val="000A5A35"/>
    <w:rsid w:val="000B0640"/>
    <w:rsid w:val="000B107F"/>
    <w:rsid w:val="000B1538"/>
    <w:rsid w:val="000C16EA"/>
    <w:rsid w:val="000C236A"/>
    <w:rsid w:val="000C2ACF"/>
    <w:rsid w:val="000C6613"/>
    <w:rsid w:val="000D2460"/>
    <w:rsid w:val="000D6072"/>
    <w:rsid w:val="000D7D5B"/>
    <w:rsid w:val="000E1454"/>
    <w:rsid w:val="000E6D0B"/>
    <w:rsid w:val="000E7928"/>
    <w:rsid w:val="000F06FF"/>
    <w:rsid w:val="000F2EB7"/>
    <w:rsid w:val="000F35E5"/>
    <w:rsid w:val="00100DDA"/>
    <w:rsid w:val="00103381"/>
    <w:rsid w:val="0011014E"/>
    <w:rsid w:val="001257C7"/>
    <w:rsid w:val="00126B71"/>
    <w:rsid w:val="00127598"/>
    <w:rsid w:val="0013235E"/>
    <w:rsid w:val="0013672C"/>
    <w:rsid w:val="00140EF5"/>
    <w:rsid w:val="00144E95"/>
    <w:rsid w:val="0014524A"/>
    <w:rsid w:val="00152567"/>
    <w:rsid w:val="0015390D"/>
    <w:rsid w:val="00154166"/>
    <w:rsid w:val="001543B8"/>
    <w:rsid w:val="00155F6B"/>
    <w:rsid w:val="001562DC"/>
    <w:rsid w:val="001648FD"/>
    <w:rsid w:val="00164F23"/>
    <w:rsid w:val="00172782"/>
    <w:rsid w:val="0017385A"/>
    <w:rsid w:val="00180F99"/>
    <w:rsid w:val="0018429C"/>
    <w:rsid w:val="00186A9C"/>
    <w:rsid w:val="00196EA9"/>
    <w:rsid w:val="001A1378"/>
    <w:rsid w:val="001A22E8"/>
    <w:rsid w:val="001A298D"/>
    <w:rsid w:val="001A4B65"/>
    <w:rsid w:val="001A6B4B"/>
    <w:rsid w:val="001B078E"/>
    <w:rsid w:val="001B24AD"/>
    <w:rsid w:val="001B35F0"/>
    <w:rsid w:val="001B4B13"/>
    <w:rsid w:val="001B76FB"/>
    <w:rsid w:val="001C0424"/>
    <w:rsid w:val="001C40EC"/>
    <w:rsid w:val="001C5947"/>
    <w:rsid w:val="001C6241"/>
    <w:rsid w:val="001C6583"/>
    <w:rsid w:val="001D1891"/>
    <w:rsid w:val="001D1AAD"/>
    <w:rsid w:val="001D40D1"/>
    <w:rsid w:val="001D4371"/>
    <w:rsid w:val="001E2493"/>
    <w:rsid w:val="001E29C0"/>
    <w:rsid w:val="001E41A1"/>
    <w:rsid w:val="001E6309"/>
    <w:rsid w:val="001E7512"/>
    <w:rsid w:val="001F1E77"/>
    <w:rsid w:val="001F6CF4"/>
    <w:rsid w:val="00204936"/>
    <w:rsid w:val="00211679"/>
    <w:rsid w:val="0021210F"/>
    <w:rsid w:val="0021524C"/>
    <w:rsid w:val="00222294"/>
    <w:rsid w:val="00225608"/>
    <w:rsid w:val="00226D5D"/>
    <w:rsid w:val="00230B20"/>
    <w:rsid w:val="00232FE7"/>
    <w:rsid w:val="00235924"/>
    <w:rsid w:val="0023645D"/>
    <w:rsid w:val="00236E26"/>
    <w:rsid w:val="002437EF"/>
    <w:rsid w:val="00244B46"/>
    <w:rsid w:val="0024742A"/>
    <w:rsid w:val="002508AB"/>
    <w:rsid w:val="00256B74"/>
    <w:rsid w:val="00256BB0"/>
    <w:rsid w:val="00257C7B"/>
    <w:rsid w:val="002607AE"/>
    <w:rsid w:val="00260FD7"/>
    <w:rsid w:val="002645FD"/>
    <w:rsid w:val="00266184"/>
    <w:rsid w:val="00267CF2"/>
    <w:rsid w:val="00270107"/>
    <w:rsid w:val="00271717"/>
    <w:rsid w:val="00272359"/>
    <w:rsid w:val="0027681E"/>
    <w:rsid w:val="00277008"/>
    <w:rsid w:val="00277629"/>
    <w:rsid w:val="00280899"/>
    <w:rsid w:val="00280EA5"/>
    <w:rsid w:val="00281672"/>
    <w:rsid w:val="0028284F"/>
    <w:rsid w:val="002835D8"/>
    <w:rsid w:val="00286331"/>
    <w:rsid w:val="002909A8"/>
    <w:rsid w:val="00291703"/>
    <w:rsid w:val="00293E66"/>
    <w:rsid w:val="0029417D"/>
    <w:rsid w:val="00296937"/>
    <w:rsid w:val="002A1BAD"/>
    <w:rsid w:val="002A415E"/>
    <w:rsid w:val="002B3927"/>
    <w:rsid w:val="002C44D4"/>
    <w:rsid w:val="002C6BE9"/>
    <w:rsid w:val="002D0A40"/>
    <w:rsid w:val="002D5A9E"/>
    <w:rsid w:val="002D5AA3"/>
    <w:rsid w:val="002D7678"/>
    <w:rsid w:val="002E1441"/>
    <w:rsid w:val="002E31F0"/>
    <w:rsid w:val="002E3822"/>
    <w:rsid w:val="00303B56"/>
    <w:rsid w:val="00311021"/>
    <w:rsid w:val="003151AB"/>
    <w:rsid w:val="0032141A"/>
    <w:rsid w:val="00323B05"/>
    <w:rsid w:val="00325514"/>
    <w:rsid w:val="00327782"/>
    <w:rsid w:val="0033675B"/>
    <w:rsid w:val="00340916"/>
    <w:rsid w:val="00343290"/>
    <w:rsid w:val="00350E9D"/>
    <w:rsid w:val="003538E7"/>
    <w:rsid w:val="00357812"/>
    <w:rsid w:val="00361AB5"/>
    <w:rsid w:val="003636EE"/>
    <w:rsid w:val="0036471F"/>
    <w:rsid w:val="00374FF5"/>
    <w:rsid w:val="00376BE2"/>
    <w:rsid w:val="00376C9B"/>
    <w:rsid w:val="00380FE3"/>
    <w:rsid w:val="00382C13"/>
    <w:rsid w:val="00386722"/>
    <w:rsid w:val="00391292"/>
    <w:rsid w:val="00391C03"/>
    <w:rsid w:val="00394836"/>
    <w:rsid w:val="00396FFC"/>
    <w:rsid w:val="003A1256"/>
    <w:rsid w:val="003A55F7"/>
    <w:rsid w:val="003A5D60"/>
    <w:rsid w:val="003A7E54"/>
    <w:rsid w:val="003B3760"/>
    <w:rsid w:val="003B47BB"/>
    <w:rsid w:val="003B5637"/>
    <w:rsid w:val="003B71DE"/>
    <w:rsid w:val="003C4F6D"/>
    <w:rsid w:val="003D10D9"/>
    <w:rsid w:val="003D19C4"/>
    <w:rsid w:val="003D4B15"/>
    <w:rsid w:val="003D6395"/>
    <w:rsid w:val="003E2438"/>
    <w:rsid w:val="003E2968"/>
    <w:rsid w:val="003E3D40"/>
    <w:rsid w:val="003E762C"/>
    <w:rsid w:val="003F15ED"/>
    <w:rsid w:val="003F16BC"/>
    <w:rsid w:val="003F2BB0"/>
    <w:rsid w:val="00410FF0"/>
    <w:rsid w:val="004118B7"/>
    <w:rsid w:val="004149FA"/>
    <w:rsid w:val="00416343"/>
    <w:rsid w:val="00416353"/>
    <w:rsid w:val="00416B8E"/>
    <w:rsid w:val="00417A02"/>
    <w:rsid w:val="00420505"/>
    <w:rsid w:val="004264AB"/>
    <w:rsid w:val="0043560C"/>
    <w:rsid w:val="004376DB"/>
    <w:rsid w:val="0044384A"/>
    <w:rsid w:val="00444B09"/>
    <w:rsid w:val="00446E17"/>
    <w:rsid w:val="00451745"/>
    <w:rsid w:val="00456CD4"/>
    <w:rsid w:val="00457F14"/>
    <w:rsid w:val="00460762"/>
    <w:rsid w:val="004626C9"/>
    <w:rsid w:val="00470CA1"/>
    <w:rsid w:val="00473A59"/>
    <w:rsid w:val="00475E70"/>
    <w:rsid w:val="004814CE"/>
    <w:rsid w:val="00483DB5"/>
    <w:rsid w:val="004859FB"/>
    <w:rsid w:val="004862F4"/>
    <w:rsid w:val="0048735C"/>
    <w:rsid w:val="004A1219"/>
    <w:rsid w:val="004A54D4"/>
    <w:rsid w:val="004A6DD9"/>
    <w:rsid w:val="004B3387"/>
    <w:rsid w:val="004B577B"/>
    <w:rsid w:val="004C557E"/>
    <w:rsid w:val="004C77B1"/>
    <w:rsid w:val="004D38BF"/>
    <w:rsid w:val="004E3F91"/>
    <w:rsid w:val="004F32B1"/>
    <w:rsid w:val="004F419F"/>
    <w:rsid w:val="00500CA6"/>
    <w:rsid w:val="005179F7"/>
    <w:rsid w:val="00527B2C"/>
    <w:rsid w:val="005317DE"/>
    <w:rsid w:val="00534D16"/>
    <w:rsid w:val="00537DCC"/>
    <w:rsid w:val="00540FD5"/>
    <w:rsid w:val="0054129B"/>
    <w:rsid w:val="00541FCA"/>
    <w:rsid w:val="00546D04"/>
    <w:rsid w:val="00547F12"/>
    <w:rsid w:val="005503B2"/>
    <w:rsid w:val="00553463"/>
    <w:rsid w:val="00562C3B"/>
    <w:rsid w:val="005660A4"/>
    <w:rsid w:val="005669BB"/>
    <w:rsid w:val="00571C47"/>
    <w:rsid w:val="0057270F"/>
    <w:rsid w:val="00572A34"/>
    <w:rsid w:val="00576AD6"/>
    <w:rsid w:val="00580D23"/>
    <w:rsid w:val="00581EF7"/>
    <w:rsid w:val="00582E63"/>
    <w:rsid w:val="00583D9D"/>
    <w:rsid w:val="00585667"/>
    <w:rsid w:val="00587B34"/>
    <w:rsid w:val="005942E0"/>
    <w:rsid w:val="005949B0"/>
    <w:rsid w:val="00597459"/>
    <w:rsid w:val="005A1774"/>
    <w:rsid w:val="005A1D22"/>
    <w:rsid w:val="005A518F"/>
    <w:rsid w:val="005A5941"/>
    <w:rsid w:val="005A5C67"/>
    <w:rsid w:val="005B21CE"/>
    <w:rsid w:val="005B7B86"/>
    <w:rsid w:val="005C045D"/>
    <w:rsid w:val="005C6F62"/>
    <w:rsid w:val="005D20C3"/>
    <w:rsid w:val="005D3BDE"/>
    <w:rsid w:val="005E06D4"/>
    <w:rsid w:val="005E0B9A"/>
    <w:rsid w:val="005E5388"/>
    <w:rsid w:val="005F5E31"/>
    <w:rsid w:val="00600D84"/>
    <w:rsid w:val="0060446F"/>
    <w:rsid w:val="00604789"/>
    <w:rsid w:val="00604E8F"/>
    <w:rsid w:val="00613D28"/>
    <w:rsid w:val="00616F41"/>
    <w:rsid w:val="00621F17"/>
    <w:rsid w:val="0062521A"/>
    <w:rsid w:val="00626427"/>
    <w:rsid w:val="0063043B"/>
    <w:rsid w:val="00633976"/>
    <w:rsid w:val="00634D0A"/>
    <w:rsid w:val="00635424"/>
    <w:rsid w:val="0063656F"/>
    <w:rsid w:val="00640585"/>
    <w:rsid w:val="006425DC"/>
    <w:rsid w:val="0064473B"/>
    <w:rsid w:val="006472C2"/>
    <w:rsid w:val="00647372"/>
    <w:rsid w:val="0064788A"/>
    <w:rsid w:val="00654338"/>
    <w:rsid w:val="00665930"/>
    <w:rsid w:val="006767CC"/>
    <w:rsid w:val="0068084F"/>
    <w:rsid w:val="00680FBB"/>
    <w:rsid w:val="00684297"/>
    <w:rsid w:val="00684F76"/>
    <w:rsid w:val="00687702"/>
    <w:rsid w:val="006933CD"/>
    <w:rsid w:val="006940B0"/>
    <w:rsid w:val="00694C4A"/>
    <w:rsid w:val="00697259"/>
    <w:rsid w:val="006A0CE2"/>
    <w:rsid w:val="006A7C25"/>
    <w:rsid w:val="006B2A9B"/>
    <w:rsid w:val="006B7F05"/>
    <w:rsid w:val="006C06BE"/>
    <w:rsid w:val="006C4EE5"/>
    <w:rsid w:val="006C5276"/>
    <w:rsid w:val="006D05AC"/>
    <w:rsid w:val="006D10F7"/>
    <w:rsid w:val="006D614E"/>
    <w:rsid w:val="006E047A"/>
    <w:rsid w:val="006E0D28"/>
    <w:rsid w:val="006E0E4A"/>
    <w:rsid w:val="006E35F8"/>
    <w:rsid w:val="006E409C"/>
    <w:rsid w:val="006E554F"/>
    <w:rsid w:val="006F36A8"/>
    <w:rsid w:val="006F3D9B"/>
    <w:rsid w:val="007014FF"/>
    <w:rsid w:val="00702F25"/>
    <w:rsid w:val="00712DB8"/>
    <w:rsid w:val="00714921"/>
    <w:rsid w:val="00716060"/>
    <w:rsid w:val="00724427"/>
    <w:rsid w:val="00727B22"/>
    <w:rsid w:val="00732E11"/>
    <w:rsid w:val="00733235"/>
    <w:rsid w:val="00734545"/>
    <w:rsid w:val="00734655"/>
    <w:rsid w:val="0073667B"/>
    <w:rsid w:val="007370C5"/>
    <w:rsid w:val="00737631"/>
    <w:rsid w:val="00737CC9"/>
    <w:rsid w:val="007403EC"/>
    <w:rsid w:val="0074103B"/>
    <w:rsid w:val="00743123"/>
    <w:rsid w:val="00743CD4"/>
    <w:rsid w:val="007451B5"/>
    <w:rsid w:val="00745FA3"/>
    <w:rsid w:val="00746197"/>
    <w:rsid w:val="007505CE"/>
    <w:rsid w:val="0075203D"/>
    <w:rsid w:val="007529E2"/>
    <w:rsid w:val="00752F5E"/>
    <w:rsid w:val="00757ADE"/>
    <w:rsid w:val="00763655"/>
    <w:rsid w:val="0077220B"/>
    <w:rsid w:val="0077706F"/>
    <w:rsid w:val="00777568"/>
    <w:rsid w:val="00783A84"/>
    <w:rsid w:val="00787DB5"/>
    <w:rsid w:val="00787FCE"/>
    <w:rsid w:val="007907A8"/>
    <w:rsid w:val="0079113A"/>
    <w:rsid w:val="00792D8E"/>
    <w:rsid w:val="00792EA7"/>
    <w:rsid w:val="00797F9C"/>
    <w:rsid w:val="007A0139"/>
    <w:rsid w:val="007A293D"/>
    <w:rsid w:val="007A5266"/>
    <w:rsid w:val="007B01F9"/>
    <w:rsid w:val="007B21EB"/>
    <w:rsid w:val="007B311C"/>
    <w:rsid w:val="007B354F"/>
    <w:rsid w:val="007C142A"/>
    <w:rsid w:val="007C5DDD"/>
    <w:rsid w:val="007C6065"/>
    <w:rsid w:val="007C7267"/>
    <w:rsid w:val="007D1FDA"/>
    <w:rsid w:val="007E0BD9"/>
    <w:rsid w:val="007E7C57"/>
    <w:rsid w:val="007E7F22"/>
    <w:rsid w:val="007F05DE"/>
    <w:rsid w:val="007F1113"/>
    <w:rsid w:val="007F2BB2"/>
    <w:rsid w:val="007F42EB"/>
    <w:rsid w:val="007F436D"/>
    <w:rsid w:val="007F77CC"/>
    <w:rsid w:val="008039DC"/>
    <w:rsid w:val="008041DB"/>
    <w:rsid w:val="00804D77"/>
    <w:rsid w:val="00806BB8"/>
    <w:rsid w:val="00811282"/>
    <w:rsid w:val="00815260"/>
    <w:rsid w:val="008157C0"/>
    <w:rsid w:val="00816F93"/>
    <w:rsid w:val="00822CDE"/>
    <w:rsid w:val="00826603"/>
    <w:rsid w:val="00827125"/>
    <w:rsid w:val="00832B6D"/>
    <w:rsid w:val="008342ED"/>
    <w:rsid w:val="008457E8"/>
    <w:rsid w:val="00850067"/>
    <w:rsid w:val="008538E9"/>
    <w:rsid w:val="008541AE"/>
    <w:rsid w:val="0085452D"/>
    <w:rsid w:val="008600EB"/>
    <w:rsid w:val="008631DE"/>
    <w:rsid w:val="00865510"/>
    <w:rsid w:val="00870A8E"/>
    <w:rsid w:val="00872A58"/>
    <w:rsid w:val="00882761"/>
    <w:rsid w:val="00884133"/>
    <w:rsid w:val="00884ADA"/>
    <w:rsid w:val="00886D74"/>
    <w:rsid w:val="0089741A"/>
    <w:rsid w:val="008A0EC8"/>
    <w:rsid w:val="008A2209"/>
    <w:rsid w:val="008B1FFA"/>
    <w:rsid w:val="008B6B01"/>
    <w:rsid w:val="008C0AF7"/>
    <w:rsid w:val="008D070C"/>
    <w:rsid w:val="008D3506"/>
    <w:rsid w:val="008D3E05"/>
    <w:rsid w:val="008D7634"/>
    <w:rsid w:val="008E0B23"/>
    <w:rsid w:val="008E32FF"/>
    <w:rsid w:val="008E38C2"/>
    <w:rsid w:val="008E5C60"/>
    <w:rsid w:val="008E60CD"/>
    <w:rsid w:val="008F22AC"/>
    <w:rsid w:val="008F43DD"/>
    <w:rsid w:val="008F6E3A"/>
    <w:rsid w:val="009008E2"/>
    <w:rsid w:val="0090383D"/>
    <w:rsid w:val="0090474F"/>
    <w:rsid w:val="00904D25"/>
    <w:rsid w:val="00905A04"/>
    <w:rsid w:val="009108D7"/>
    <w:rsid w:val="00911174"/>
    <w:rsid w:val="00912334"/>
    <w:rsid w:val="009144CC"/>
    <w:rsid w:val="00915EE3"/>
    <w:rsid w:val="009171E8"/>
    <w:rsid w:val="0092133A"/>
    <w:rsid w:val="00937A04"/>
    <w:rsid w:val="00940A27"/>
    <w:rsid w:val="00944F23"/>
    <w:rsid w:val="009462E6"/>
    <w:rsid w:val="0094699B"/>
    <w:rsid w:val="00953883"/>
    <w:rsid w:val="00956923"/>
    <w:rsid w:val="00962D24"/>
    <w:rsid w:val="00964147"/>
    <w:rsid w:val="00965741"/>
    <w:rsid w:val="00965C58"/>
    <w:rsid w:val="009664BD"/>
    <w:rsid w:val="00967DA5"/>
    <w:rsid w:val="009757CC"/>
    <w:rsid w:val="00975A06"/>
    <w:rsid w:val="00976B46"/>
    <w:rsid w:val="00977499"/>
    <w:rsid w:val="00982F9A"/>
    <w:rsid w:val="00985EE5"/>
    <w:rsid w:val="00990111"/>
    <w:rsid w:val="00991CAC"/>
    <w:rsid w:val="009A45AD"/>
    <w:rsid w:val="009A5977"/>
    <w:rsid w:val="009A656E"/>
    <w:rsid w:val="009A788C"/>
    <w:rsid w:val="009A7ACF"/>
    <w:rsid w:val="009B0334"/>
    <w:rsid w:val="009B0B19"/>
    <w:rsid w:val="009B5A89"/>
    <w:rsid w:val="009C5ACD"/>
    <w:rsid w:val="009C7C23"/>
    <w:rsid w:val="009D44BC"/>
    <w:rsid w:val="009D5261"/>
    <w:rsid w:val="009E0860"/>
    <w:rsid w:val="009E325F"/>
    <w:rsid w:val="009F142E"/>
    <w:rsid w:val="009F56F6"/>
    <w:rsid w:val="00A02E7C"/>
    <w:rsid w:val="00A03C24"/>
    <w:rsid w:val="00A05B72"/>
    <w:rsid w:val="00A0660D"/>
    <w:rsid w:val="00A0661F"/>
    <w:rsid w:val="00A10FF0"/>
    <w:rsid w:val="00A142FA"/>
    <w:rsid w:val="00A1475C"/>
    <w:rsid w:val="00A158CC"/>
    <w:rsid w:val="00A20229"/>
    <w:rsid w:val="00A20336"/>
    <w:rsid w:val="00A22863"/>
    <w:rsid w:val="00A2342E"/>
    <w:rsid w:val="00A25854"/>
    <w:rsid w:val="00A26D67"/>
    <w:rsid w:val="00A27F35"/>
    <w:rsid w:val="00A3227F"/>
    <w:rsid w:val="00A35F33"/>
    <w:rsid w:val="00A36961"/>
    <w:rsid w:val="00A36AF3"/>
    <w:rsid w:val="00A37513"/>
    <w:rsid w:val="00A46E5F"/>
    <w:rsid w:val="00A4732E"/>
    <w:rsid w:val="00A51512"/>
    <w:rsid w:val="00A520BD"/>
    <w:rsid w:val="00A6277F"/>
    <w:rsid w:val="00A66F51"/>
    <w:rsid w:val="00A66FBC"/>
    <w:rsid w:val="00A7096F"/>
    <w:rsid w:val="00A71723"/>
    <w:rsid w:val="00A71727"/>
    <w:rsid w:val="00A73445"/>
    <w:rsid w:val="00A75AC1"/>
    <w:rsid w:val="00A761C7"/>
    <w:rsid w:val="00A86A06"/>
    <w:rsid w:val="00A9129D"/>
    <w:rsid w:val="00A92432"/>
    <w:rsid w:val="00A95E62"/>
    <w:rsid w:val="00AA131D"/>
    <w:rsid w:val="00AA1C8A"/>
    <w:rsid w:val="00AA1DED"/>
    <w:rsid w:val="00AA5893"/>
    <w:rsid w:val="00AA601A"/>
    <w:rsid w:val="00AA6228"/>
    <w:rsid w:val="00AB17CC"/>
    <w:rsid w:val="00AB4EBE"/>
    <w:rsid w:val="00AB5FA1"/>
    <w:rsid w:val="00AB7D72"/>
    <w:rsid w:val="00AC0505"/>
    <w:rsid w:val="00AC2570"/>
    <w:rsid w:val="00AC3680"/>
    <w:rsid w:val="00AC3E54"/>
    <w:rsid w:val="00AC3F7B"/>
    <w:rsid w:val="00AC4A0B"/>
    <w:rsid w:val="00AD0397"/>
    <w:rsid w:val="00AE395B"/>
    <w:rsid w:val="00AE4519"/>
    <w:rsid w:val="00AE568F"/>
    <w:rsid w:val="00AF1279"/>
    <w:rsid w:val="00AF46DF"/>
    <w:rsid w:val="00AF6EAC"/>
    <w:rsid w:val="00B003AF"/>
    <w:rsid w:val="00B01AFC"/>
    <w:rsid w:val="00B10B0A"/>
    <w:rsid w:val="00B10E5E"/>
    <w:rsid w:val="00B11083"/>
    <w:rsid w:val="00B129BD"/>
    <w:rsid w:val="00B137A4"/>
    <w:rsid w:val="00B147A0"/>
    <w:rsid w:val="00B1487E"/>
    <w:rsid w:val="00B16DC8"/>
    <w:rsid w:val="00B2173E"/>
    <w:rsid w:val="00B243FA"/>
    <w:rsid w:val="00B25D0C"/>
    <w:rsid w:val="00B34E37"/>
    <w:rsid w:val="00B362C8"/>
    <w:rsid w:val="00B40227"/>
    <w:rsid w:val="00B40CC1"/>
    <w:rsid w:val="00B40F46"/>
    <w:rsid w:val="00B43B7C"/>
    <w:rsid w:val="00B43B9E"/>
    <w:rsid w:val="00B45653"/>
    <w:rsid w:val="00B57B23"/>
    <w:rsid w:val="00B61498"/>
    <w:rsid w:val="00B64349"/>
    <w:rsid w:val="00B66584"/>
    <w:rsid w:val="00B71193"/>
    <w:rsid w:val="00B72624"/>
    <w:rsid w:val="00B72F38"/>
    <w:rsid w:val="00B735A6"/>
    <w:rsid w:val="00B75796"/>
    <w:rsid w:val="00B76CB4"/>
    <w:rsid w:val="00B81A47"/>
    <w:rsid w:val="00B81BC5"/>
    <w:rsid w:val="00B9034F"/>
    <w:rsid w:val="00B959A5"/>
    <w:rsid w:val="00B97E0B"/>
    <w:rsid w:val="00BA0B09"/>
    <w:rsid w:val="00BA3C79"/>
    <w:rsid w:val="00BA5146"/>
    <w:rsid w:val="00BB46C1"/>
    <w:rsid w:val="00BB5AD5"/>
    <w:rsid w:val="00BC5C63"/>
    <w:rsid w:val="00BD7566"/>
    <w:rsid w:val="00BD7CBE"/>
    <w:rsid w:val="00BE0BE4"/>
    <w:rsid w:val="00BF26DE"/>
    <w:rsid w:val="00BF5F8B"/>
    <w:rsid w:val="00C0208F"/>
    <w:rsid w:val="00C054DB"/>
    <w:rsid w:val="00C06F2A"/>
    <w:rsid w:val="00C0738F"/>
    <w:rsid w:val="00C07CFC"/>
    <w:rsid w:val="00C12428"/>
    <w:rsid w:val="00C14014"/>
    <w:rsid w:val="00C14464"/>
    <w:rsid w:val="00C16EEE"/>
    <w:rsid w:val="00C17983"/>
    <w:rsid w:val="00C17C11"/>
    <w:rsid w:val="00C23E36"/>
    <w:rsid w:val="00C25C09"/>
    <w:rsid w:val="00C27417"/>
    <w:rsid w:val="00C34B86"/>
    <w:rsid w:val="00C35015"/>
    <w:rsid w:val="00C361ED"/>
    <w:rsid w:val="00C3669F"/>
    <w:rsid w:val="00C370DE"/>
    <w:rsid w:val="00C376EC"/>
    <w:rsid w:val="00C42FB4"/>
    <w:rsid w:val="00C454EF"/>
    <w:rsid w:val="00C5032B"/>
    <w:rsid w:val="00C51C90"/>
    <w:rsid w:val="00C558EF"/>
    <w:rsid w:val="00C57280"/>
    <w:rsid w:val="00C57755"/>
    <w:rsid w:val="00C61748"/>
    <w:rsid w:val="00C90A44"/>
    <w:rsid w:val="00C93F08"/>
    <w:rsid w:val="00C954D3"/>
    <w:rsid w:val="00C970C2"/>
    <w:rsid w:val="00CA0EA3"/>
    <w:rsid w:val="00CA2AF0"/>
    <w:rsid w:val="00CA4951"/>
    <w:rsid w:val="00CA53BD"/>
    <w:rsid w:val="00CA60B0"/>
    <w:rsid w:val="00CC14DD"/>
    <w:rsid w:val="00CC1D19"/>
    <w:rsid w:val="00CC7F25"/>
    <w:rsid w:val="00CD2E38"/>
    <w:rsid w:val="00CD3068"/>
    <w:rsid w:val="00CD49E1"/>
    <w:rsid w:val="00CD6AFF"/>
    <w:rsid w:val="00CE0532"/>
    <w:rsid w:val="00CE1094"/>
    <w:rsid w:val="00CE138F"/>
    <w:rsid w:val="00CE3F0F"/>
    <w:rsid w:val="00CE409D"/>
    <w:rsid w:val="00CF1594"/>
    <w:rsid w:val="00CF22CA"/>
    <w:rsid w:val="00CF53EE"/>
    <w:rsid w:val="00D02868"/>
    <w:rsid w:val="00D028BD"/>
    <w:rsid w:val="00D03F1B"/>
    <w:rsid w:val="00D12094"/>
    <w:rsid w:val="00D1212F"/>
    <w:rsid w:val="00D156F4"/>
    <w:rsid w:val="00D17122"/>
    <w:rsid w:val="00D17298"/>
    <w:rsid w:val="00D27885"/>
    <w:rsid w:val="00D33592"/>
    <w:rsid w:val="00D33CF5"/>
    <w:rsid w:val="00D354A9"/>
    <w:rsid w:val="00D4215D"/>
    <w:rsid w:val="00D468F8"/>
    <w:rsid w:val="00D506BE"/>
    <w:rsid w:val="00D515A3"/>
    <w:rsid w:val="00D522E7"/>
    <w:rsid w:val="00D60454"/>
    <w:rsid w:val="00D612A1"/>
    <w:rsid w:val="00D652DC"/>
    <w:rsid w:val="00D6537A"/>
    <w:rsid w:val="00D66A1C"/>
    <w:rsid w:val="00D74881"/>
    <w:rsid w:val="00D7584C"/>
    <w:rsid w:val="00D76633"/>
    <w:rsid w:val="00D826FC"/>
    <w:rsid w:val="00D83C00"/>
    <w:rsid w:val="00D87009"/>
    <w:rsid w:val="00D8734F"/>
    <w:rsid w:val="00D91AF7"/>
    <w:rsid w:val="00D91B8C"/>
    <w:rsid w:val="00D92E07"/>
    <w:rsid w:val="00D94EDD"/>
    <w:rsid w:val="00D96B8C"/>
    <w:rsid w:val="00D9721B"/>
    <w:rsid w:val="00DA1A62"/>
    <w:rsid w:val="00DB1F33"/>
    <w:rsid w:val="00DB6546"/>
    <w:rsid w:val="00DC3BB3"/>
    <w:rsid w:val="00DC51C0"/>
    <w:rsid w:val="00DC7FF6"/>
    <w:rsid w:val="00DD0CA3"/>
    <w:rsid w:val="00DD1346"/>
    <w:rsid w:val="00DD38C0"/>
    <w:rsid w:val="00DD42D2"/>
    <w:rsid w:val="00DD4DBF"/>
    <w:rsid w:val="00DD7285"/>
    <w:rsid w:val="00DE0B56"/>
    <w:rsid w:val="00DE21CA"/>
    <w:rsid w:val="00DE4A84"/>
    <w:rsid w:val="00DF0C4C"/>
    <w:rsid w:val="00DF1692"/>
    <w:rsid w:val="00DF2B3E"/>
    <w:rsid w:val="00DF7F27"/>
    <w:rsid w:val="00E00C3F"/>
    <w:rsid w:val="00E03D2B"/>
    <w:rsid w:val="00E05764"/>
    <w:rsid w:val="00E117AE"/>
    <w:rsid w:val="00E21273"/>
    <w:rsid w:val="00E224F3"/>
    <w:rsid w:val="00E23194"/>
    <w:rsid w:val="00E26ED5"/>
    <w:rsid w:val="00E26EE5"/>
    <w:rsid w:val="00E27617"/>
    <w:rsid w:val="00E31658"/>
    <w:rsid w:val="00E333AD"/>
    <w:rsid w:val="00E37A9B"/>
    <w:rsid w:val="00E45051"/>
    <w:rsid w:val="00E4775E"/>
    <w:rsid w:val="00E47C7B"/>
    <w:rsid w:val="00E5495F"/>
    <w:rsid w:val="00E5698E"/>
    <w:rsid w:val="00E65B40"/>
    <w:rsid w:val="00E66F0C"/>
    <w:rsid w:val="00E7056C"/>
    <w:rsid w:val="00E70A2A"/>
    <w:rsid w:val="00E73AF2"/>
    <w:rsid w:val="00E73B5C"/>
    <w:rsid w:val="00E75B82"/>
    <w:rsid w:val="00E802C2"/>
    <w:rsid w:val="00E80E3B"/>
    <w:rsid w:val="00E8132A"/>
    <w:rsid w:val="00E835C2"/>
    <w:rsid w:val="00E83755"/>
    <w:rsid w:val="00E84727"/>
    <w:rsid w:val="00E852F1"/>
    <w:rsid w:val="00E87D6E"/>
    <w:rsid w:val="00E917F2"/>
    <w:rsid w:val="00E922DA"/>
    <w:rsid w:val="00E95EC1"/>
    <w:rsid w:val="00EA0510"/>
    <w:rsid w:val="00EA185B"/>
    <w:rsid w:val="00EA1E1E"/>
    <w:rsid w:val="00EA2B4E"/>
    <w:rsid w:val="00EA659E"/>
    <w:rsid w:val="00EA68C2"/>
    <w:rsid w:val="00EB4C91"/>
    <w:rsid w:val="00EC004B"/>
    <w:rsid w:val="00EC102B"/>
    <w:rsid w:val="00EC1218"/>
    <w:rsid w:val="00EC288C"/>
    <w:rsid w:val="00EC4595"/>
    <w:rsid w:val="00EC72B5"/>
    <w:rsid w:val="00ED3291"/>
    <w:rsid w:val="00ED5F8E"/>
    <w:rsid w:val="00ED674D"/>
    <w:rsid w:val="00ED7235"/>
    <w:rsid w:val="00ED7BCF"/>
    <w:rsid w:val="00EE0037"/>
    <w:rsid w:val="00EE5560"/>
    <w:rsid w:val="00EF27CA"/>
    <w:rsid w:val="00EF4F47"/>
    <w:rsid w:val="00F02A89"/>
    <w:rsid w:val="00F02D17"/>
    <w:rsid w:val="00F07706"/>
    <w:rsid w:val="00F114B8"/>
    <w:rsid w:val="00F12AF6"/>
    <w:rsid w:val="00F232BC"/>
    <w:rsid w:val="00F25A13"/>
    <w:rsid w:val="00F31E7C"/>
    <w:rsid w:val="00F32D8E"/>
    <w:rsid w:val="00F32F5C"/>
    <w:rsid w:val="00F3335B"/>
    <w:rsid w:val="00F34FD4"/>
    <w:rsid w:val="00F525CA"/>
    <w:rsid w:val="00F53F77"/>
    <w:rsid w:val="00F55CDA"/>
    <w:rsid w:val="00F5628E"/>
    <w:rsid w:val="00F57422"/>
    <w:rsid w:val="00F60E8B"/>
    <w:rsid w:val="00F70A37"/>
    <w:rsid w:val="00F80175"/>
    <w:rsid w:val="00F87E3A"/>
    <w:rsid w:val="00F912D1"/>
    <w:rsid w:val="00F91FF4"/>
    <w:rsid w:val="00F934E2"/>
    <w:rsid w:val="00F9369B"/>
    <w:rsid w:val="00F95888"/>
    <w:rsid w:val="00F96687"/>
    <w:rsid w:val="00FA1D20"/>
    <w:rsid w:val="00FA2D55"/>
    <w:rsid w:val="00FA7404"/>
    <w:rsid w:val="00FA7CA3"/>
    <w:rsid w:val="00FB338C"/>
    <w:rsid w:val="00FB56E2"/>
    <w:rsid w:val="00FC1D84"/>
    <w:rsid w:val="00FC5CBF"/>
    <w:rsid w:val="00FD498B"/>
    <w:rsid w:val="00FD5375"/>
    <w:rsid w:val="00FD5BBA"/>
    <w:rsid w:val="00FD699D"/>
    <w:rsid w:val="00FD713C"/>
    <w:rsid w:val="00FD7A16"/>
    <w:rsid w:val="00FE01B2"/>
    <w:rsid w:val="00FE0C13"/>
    <w:rsid w:val="00FE12C7"/>
    <w:rsid w:val="00FE6D5F"/>
    <w:rsid w:val="00FE7630"/>
    <w:rsid w:val="00FE7F01"/>
    <w:rsid w:val="00FF402C"/>
    <w:rsid w:val="00FF43E1"/>
    <w:rsid w:val="00FF5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E26CCA-1AC6-46CA-BC23-59CEE3AD9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CF"/>
    <w:pPr>
      <w:spacing w:after="0" w:line="480" w:lineRule="auto"/>
      <w:ind w:firstLine="720"/>
    </w:pPr>
    <w:rPr>
      <w:rFonts w:eastAsiaTheme="minorEastAsia"/>
      <w:kern w:val="24"/>
      <w:sz w:val="24"/>
      <w:szCs w:val="24"/>
      <w:lang w:eastAsia="ja-JP"/>
    </w:rPr>
  </w:style>
  <w:style w:type="paragraph" w:styleId="Heading1">
    <w:name w:val="heading 1"/>
    <w:basedOn w:val="Normal"/>
    <w:next w:val="Normal"/>
    <w:link w:val="Heading1Char"/>
    <w:uiPriority w:val="9"/>
    <w:qFormat/>
    <w:rsid w:val="00F60E8B"/>
    <w:pPr>
      <w:keepNext/>
      <w:keepLines/>
      <w:spacing w:before="240" w:line="360" w:lineRule="auto"/>
      <w:ind w:firstLine="0"/>
      <w:jc w:val="center"/>
      <w:outlineLvl w:val="0"/>
    </w:pPr>
    <w:rPr>
      <w:rFonts w:ascii="Times New Roman" w:eastAsiaTheme="majorEastAsia" w:hAnsi="Times New Roman" w:cstheme="majorBidi"/>
      <w:b/>
      <w:color w:val="000000" w:themeColor="text1"/>
      <w:kern w:val="0"/>
      <w:szCs w:val="32"/>
      <w:lang w:eastAsia="en-US"/>
    </w:rPr>
  </w:style>
  <w:style w:type="paragraph" w:styleId="Heading2">
    <w:name w:val="heading 2"/>
    <w:basedOn w:val="Normal"/>
    <w:next w:val="Normal"/>
    <w:link w:val="Heading2Char"/>
    <w:uiPriority w:val="9"/>
    <w:unhideWhenUsed/>
    <w:qFormat/>
    <w:rsid w:val="00DD38C0"/>
    <w:pPr>
      <w:keepNext/>
      <w:keepLines/>
      <w:spacing w:before="40" w:line="259" w:lineRule="auto"/>
      <w:ind w:firstLine="0"/>
      <w:outlineLvl w:val="1"/>
    </w:pPr>
    <w:rPr>
      <w:rFonts w:asciiTheme="majorHAnsi" w:eastAsiaTheme="majorEastAsia" w:hAnsiTheme="majorHAnsi" w:cstheme="majorBidi"/>
      <w:color w:val="2E74B5" w:themeColor="accent1" w:themeShade="BF"/>
      <w:kern w:val="0"/>
      <w:sz w:val="26"/>
      <w:szCs w:val="26"/>
      <w:lang w:eastAsia="en-US"/>
    </w:rPr>
  </w:style>
  <w:style w:type="paragraph" w:styleId="Heading3">
    <w:name w:val="heading 3"/>
    <w:basedOn w:val="Normal"/>
    <w:next w:val="Normal"/>
    <w:link w:val="Heading3Char"/>
    <w:uiPriority w:val="9"/>
    <w:semiHidden/>
    <w:unhideWhenUsed/>
    <w:qFormat/>
    <w:rsid w:val="00FB338C"/>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52F1"/>
    <w:pPr>
      <w:spacing w:before="100" w:beforeAutospacing="1" w:after="100" w:afterAutospacing="1" w:line="240" w:lineRule="auto"/>
    </w:pPr>
    <w:rPr>
      <w:rFonts w:ascii="Times New Roman" w:eastAsia="Times New Roman" w:hAnsi="Times New Roman" w:cs="Times New Roman"/>
    </w:rPr>
  </w:style>
  <w:style w:type="character" w:styleId="Strong">
    <w:name w:val="Strong"/>
    <w:uiPriority w:val="22"/>
    <w:qFormat/>
    <w:rsid w:val="00E852F1"/>
    <w:rPr>
      <w:b/>
      <w:bCs/>
    </w:rPr>
  </w:style>
  <w:style w:type="character" w:customStyle="1" w:styleId="Heading1Char">
    <w:name w:val="Heading 1 Char"/>
    <w:basedOn w:val="DefaultParagraphFont"/>
    <w:link w:val="Heading1"/>
    <w:uiPriority w:val="9"/>
    <w:rsid w:val="00F60E8B"/>
    <w:rPr>
      <w:rFonts w:ascii="Times New Roman" w:eastAsiaTheme="majorEastAsia" w:hAnsi="Times New Roman" w:cstheme="majorBidi"/>
      <w:b/>
      <w:color w:val="000000" w:themeColor="text1"/>
      <w:sz w:val="24"/>
      <w:szCs w:val="32"/>
    </w:rPr>
  </w:style>
  <w:style w:type="character" w:customStyle="1" w:styleId="Heading2Char">
    <w:name w:val="Heading 2 Char"/>
    <w:basedOn w:val="DefaultParagraphFont"/>
    <w:link w:val="Heading2"/>
    <w:uiPriority w:val="9"/>
    <w:rsid w:val="00DD38C0"/>
    <w:rPr>
      <w:rFonts w:asciiTheme="majorHAnsi" w:eastAsiaTheme="majorEastAsia" w:hAnsiTheme="majorHAnsi" w:cstheme="majorBidi"/>
      <w:color w:val="2E74B5" w:themeColor="accent1" w:themeShade="BF"/>
      <w:sz w:val="26"/>
      <w:szCs w:val="26"/>
    </w:rPr>
  </w:style>
  <w:style w:type="character" w:styleId="Emphasis">
    <w:name w:val="Emphasis"/>
    <w:uiPriority w:val="20"/>
    <w:qFormat/>
    <w:rsid w:val="00A46E5F"/>
    <w:rPr>
      <w:i/>
      <w:iCs/>
    </w:rPr>
  </w:style>
  <w:style w:type="paragraph" w:styleId="BalloonText">
    <w:name w:val="Balloon Text"/>
    <w:basedOn w:val="Normal"/>
    <w:link w:val="BalloonTextChar"/>
    <w:uiPriority w:val="99"/>
    <w:semiHidden/>
    <w:unhideWhenUsed/>
    <w:rsid w:val="00743CD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CD4"/>
    <w:rPr>
      <w:rFonts w:ascii="Segoe UI" w:hAnsi="Segoe UI" w:cs="Segoe UI"/>
      <w:sz w:val="18"/>
      <w:szCs w:val="18"/>
    </w:rPr>
  </w:style>
  <w:style w:type="paragraph" w:styleId="ListParagraph">
    <w:name w:val="List Paragraph"/>
    <w:basedOn w:val="Normal"/>
    <w:uiPriority w:val="34"/>
    <w:qFormat/>
    <w:rsid w:val="00E47C7B"/>
    <w:pPr>
      <w:spacing w:after="160" w:line="259" w:lineRule="auto"/>
      <w:ind w:left="720" w:firstLine="0"/>
      <w:contextualSpacing/>
    </w:pPr>
    <w:rPr>
      <w:rFonts w:eastAsiaTheme="minorHAnsi"/>
      <w:kern w:val="0"/>
      <w:sz w:val="22"/>
      <w:szCs w:val="22"/>
      <w:lang w:eastAsia="en-US"/>
    </w:rPr>
  </w:style>
  <w:style w:type="character" w:customStyle="1" w:styleId="t">
    <w:name w:val="t"/>
    <w:rsid w:val="00040AAE"/>
  </w:style>
  <w:style w:type="paragraph" w:styleId="Header">
    <w:name w:val="header"/>
    <w:basedOn w:val="Normal"/>
    <w:link w:val="HeaderChar"/>
    <w:uiPriority w:val="99"/>
    <w:unhideWhenUsed/>
    <w:rsid w:val="00DE0B56"/>
    <w:pPr>
      <w:tabs>
        <w:tab w:val="center" w:pos="4680"/>
        <w:tab w:val="right" w:pos="9360"/>
      </w:tabs>
      <w:spacing w:line="240" w:lineRule="auto"/>
      <w:ind w:firstLine="0"/>
    </w:pPr>
    <w:rPr>
      <w:rFonts w:ascii="Times New Roman" w:eastAsiaTheme="minorHAnsi" w:hAnsi="Times New Roman" w:cs="Times New Roman"/>
      <w:kern w:val="0"/>
      <w:lang w:eastAsia="en-US"/>
    </w:rPr>
  </w:style>
  <w:style w:type="character" w:customStyle="1" w:styleId="HeaderChar">
    <w:name w:val="Header Char"/>
    <w:basedOn w:val="DefaultParagraphFont"/>
    <w:link w:val="Header"/>
    <w:uiPriority w:val="99"/>
    <w:rsid w:val="00DE0B56"/>
    <w:rPr>
      <w:rFonts w:ascii="Times New Roman" w:hAnsi="Times New Roman" w:cs="Times New Roman"/>
      <w:sz w:val="24"/>
      <w:szCs w:val="24"/>
    </w:rPr>
  </w:style>
  <w:style w:type="paragraph" w:styleId="Footer">
    <w:name w:val="footer"/>
    <w:basedOn w:val="Normal"/>
    <w:link w:val="FooterChar"/>
    <w:uiPriority w:val="99"/>
    <w:unhideWhenUsed/>
    <w:rsid w:val="00457F14"/>
    <w:pPr>
      <w:tabs>
        <w:tab w:val="center" w:pos="4680"/>
        <w:tab w:val="right" w:pos="9360"/>
      </w:tabs>
      <w:spacing w:line="240" w:lineRule="auto"/>
    </w:pPr>
  </w:style>
  <w:style w:type="character" w:customStyle="1" w:styleId="FooterChar">
    <w:name w:val="Footer Char"/>
    <w:basedOn w:val="DefaultParagraphFont"/>
    <w:link w:val="Footer"/>
    <w:uiPriority w:val="99"/>
    <w:rsid w:val="00457F14"/>
  </w:style>
  <w:style w:type="paragraph" w:styleId="FootnoteText">
    <w:name w:val="footnote text"/>
    <w:basedOn w:val="Normal"/>
    <w:link w:val="FootnoteTextChar"/>
    <w:uiPriority w:val="99"/>
    <w:semiHidden/>
    <w:unhideWhenUsed/>
    <w:rsid w:val="00712DB8"/>
    <w:pPr>
      <w:spacing w:line="240" w:lineRule="auto"/>
      <w:ind w:firstLine="0"/>
    </w:pPr>
    <w:rPr>
      <w:rFonts w:ascii="Times New Roman" w:eastAsia="Calibri" w:hAnsi="Times New Roman" w:cs="Times New Roman"/>
      <w:color w:val="000000"/>
      <w:kern w:val="0"/>
      <w:sz w:val="20"/>
      <w:szCs w:val="20"/>
      <w:lang w:eastAsia="en-US"/>
    </w:rPr>
  </w:style>
  <w:style w:type="character" w:customStyle="1" w:styleId="FootnoteTextChar">
    <w:name w:val="Footnote Text Char"/>
    <w:basedOn w:val="DefaultParagraphFont"/>
    <w:link w:val="FootnoteText"/>
    <w:uiPriority w:val="99"/>
    <w:semiHidden/>
    <w:rsid w:val="00712DB8"/>
    <w:rPr>
      <w:rFonts w:ascii="Times New Roman" w:eastAsia="Calibri" w:hAnsi="Times New Roman" w:cs="Times New Roman"/>
      <w:color w:val="000000"/>
      <w:sz w:val="20"/>
      <w:szCs w:val="20"/>
    </w:rPr>
  </w:style>
  <w:style w:type="character" w:styleId="FootnoteReference">
    <w:name w:val="footnote reference"/>
    <w:uiPriority w:val="99"/>
    <w:semiHidden/>
    <w:unhideWhenUsed/>
    <w:rsid w:val="00712DB8"/>
    <w:rPr>
      <w:vertAlign w:val="superscript"/>
    </w:rPr>
  </w:style>
  <w:style w:type="character" w:customStyle="1" w:styleId="Heading3Char">
    <w:name w:val="Heading 3 Char"/>
    <w:basedOn w:val="DefaultParagraphFont"/>
    <w:link w:val="Heading3"/>
    <w:uiPriority w:val="9"/>
    <w:rsid w:val="00FB338C"/>
    <w:rPr>
      <w:rFonts w:asciiTheme="majorHAnsi" w:eastAsiaTheme="majorEastAsia" w:hAnsiTheme="majorHAnsi" w:cstheme="majorBidi"/>
      <w:color w:val="1F4D78" w:themeColor="accent1" w:themeShade="7F"/>
      <w:sz w:val="24"/>
      <w:szCs w:val="24"/>
    </w:rPr>
  </w:style>
  <w:style w:type="paragraph" w:customStyle="1" w:styleId="SectionTitle">
    <w:name w:val="Section Title"/>
    <w:basedOn w:val="Normal"/>
    <w:uiPriority w:val="2"/>
    <w:qFormat/>
    <w:rsid w:val="00280899"/>
    <w:pPr>
      <w:pageBreakBefore/>
      <w:ind w:firstLine="0"/>
      <w:jc w:val="center"/>
      <w:outlineLvl w:val="0"/>
    </w:pPr>
    <w:rPr>
      <w:rFonts w:asciiTheme="majorHAnsi" w:eastAsiaTheme="majorEastAsia" w:hAnsiTheme="majorHAnsi" w:cstheme="majorBidi"/>
    </w:rPr>
  </w:style>
  <w:style w:type="paragraph" w:styleId="NoSpacing">
    <w:name w:val="No Spacing"/>
    <w:uiPriority w:val="1"/>
    <w:qFormat/>
    <w:rsid w:val="00FA7CA3"/>
    <w:pPr>
      <w:spacing w:after="0" w:line="240" w:lineRule="auto"/>
    </w:pPr>
    <w:rPr>
      <w:rFonts w:ascii="Calibri" w:eastAsia="Calibri" w:hAnsi="Calibri" w:cs="Times New Roman"/>
    </w:rPr>
  </w:style>
  <w:style w:type="character" w:customStyle="1" w:styleId="st">
    <w:name w:val="st"/>
    <w:basedOn w:val="DefaultParagraphFont"/>
    <w:rsid w:val="00AE568F"/>
  </w:style>
  <w:style w:type="character" w:customStyle="1" w:styleId="ilfuvd">
    <w:name w:val="ilfuvd"/>
    <w:basedOn w:val="DefaultParagraphFont"/>
    <w:rsid w:val="00A761C7"/>
  </w:style>
  <w:style w:type="character" w:styleId="Hyperlink">
    <w:name w:val="Hyperlink"/>
    <w:basedOn w:val="DefaultParagraphFont"/>
    <w:uiPriority w:val="99"/>
    <w:unhideWhenUsed/>
    <w:rsid w:val="00FD7A16"/>
    <w:rPr>
      <w:color w:val="0000FF"/>
      <w:u w:val="single"/>
    </w:rPr>
  </w:style>
  <w:style w:type="table" w:styleId="TableGrid">
    <w:name w:val="Table Grid"/>
    <w:basedOn w:val="TableNormal"/>
    <w:uiPriority w:val="39"/>
    <w:rsid w:val="0033675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line-character">
    <w:name w:val="inline-character"/>
    <w:rsid w:val="00D6537A"/>
  </w:style>
  <w:style w:type="paragraph" w:styleId="Caption">
    <w:name w:val="caption"/>
    <w:basedOn w:val="Normal"/>
    <w:next w:val="Normal"/>
    <w:uiPriority w:val="35"/>
    <w:unhideWhenUsed/>
    <w:qFormat/>
    <w:rsid w:val="0062521A"/>
    <w:pPr>
      <w:spacing w:after="200" w:line="240" w:lineRule="auto"/>
      <w:ind w:firstLine="0"/>
    </w:pPr>
    <w:rPr>
      <w:rFonts w:eastAsiaTheme="minorHAnsi"/>
      <w:i/>
      <w:iCs/>
      <w:color w:val="44546A" w:themeColor="text2"/>
      <w:kern w:val="0"/>
      <w:sz w:val="18"/>
      <w:szCs w:val="18"/>
      <w:lang w:eastAsia="en-US"/>
    </w:rPr>
  </w:style>
  <w:style w:type="character" w:customStyle="1" w:styleId="text">
    <w:name w:val="text"/>
    <w:basedOn w:val="DefaultParagraphFont"/>
    <w:rsid w:val="00572A34"/>
  </w:style>
  <w:style w:type="character" w:customStyle="1" w:styleId="woj">
    <w:name w:val="woj"/>
    <w:basedOn w:val="DefaultParagraphFont"/>
    <w:rsid w:val="00572A34"/>
  </w:style>
  <w:style w:type="character" w:customStyle="1" w:styleId="il">
    <w:name w:val="il"/>
    <w:rsid w:val="00B40F46"/>
  </w:style>
  <w:style w:type="character" w:customStyle="1" w:styleId="post-byline">
    <w:name w:val="post-byline"/>
    <w:rsid w:val="00D522E7"/>
  </w:style>
  <w:style w:type="character" w:customStyle="1" w:styleId="headertext">
    <w:name w:val="headertext"/>
    <w:basedOn w:val="DefaultParagraphFont"/>
    <w:rsid w:val="001D40D1"/>
  </w:style>
  <w:style w:type="table" w:styleId="GridTable4-Accent2">
    <w:name w:val="Grid Table 4 Accent 2"/>
    <w:basedOn w:val="TableNormal"/>
    <w:uiPriority w:val="49"/>
    <w:rsid w:val="006C527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ibliography">
    <w:name w:val="Bibliography"/>
    <w:basedOn w:val="Normal"/>
    <w:next w:val="Normal"/>
    <w:uiPriority w:val="37"/>
    <w:unhideWhenUsed/>
    <w:rsid w:val="00B75796"/>
    <w:pPr>
      <w:spacing w:line="240" w:lineRule="auto"/>
      <w:ind w:firstLine="0"/>
    </w:pPr>
    <w:rPr>
      <w:rFonts w:ascii="Calibri" w:eastAsia="Calibri" w:hAnsi="Calibri" w:cs="Times New Roman"/>
      <w:kern w:val="0"/>
      <w:sz w:val="22"/>
      <w:szCs w:val="22"/>
      <w:lang w:eastAsia="en-US"/>
    </w:rPr>
  </w:style>
  <w:style w:type="paragraph" w:customStyle="1" w:styleId="paragraph">
    <w:name w:val="paragraph"/>
    <w:basedOn w:val="Normal"/>
    <w:rsid w:val="00D156F4"/>
    <w:pPr>
      <w:spacing w:before="100" w:beforeAutospacing="1" w:after="100" w:afterAutospacing="1" w:line="240" w:lineRule="auto"/>
      <w:ind w:firstLine="0"/>
    </w:pPr>
    <w:rPr>
      <w:rFonts w:ascii="Times New Roman" w:eastAsia="Times New Roman" w:hAnsi="Times New Roman" w:cs="Times New Roman"/>
      <w:kern w:val="0"/>
      <w:lang w:eastAsia="en-US"/>
    </w:rPr>
  </w:style>
  <w:style w:type="character" w:customStyle="1" w:styleId="normaltextrun">
    <w:name w:val="normaltextrun"/>
    <w:basedOn w:val="DefaultParagraphFont"/>
    <w:rsid w:val="00D156F4"/>
  </w:style>
  <w:style w:type="character" w:customStyle="1" w:styleId="eop">
    <w:name w:val="eop"/>
    <w:basedOn w:val="DefaultParagraphFont"/>
    <w:rsid w:val="00D156F4"/>
  </w:style>
  <w:style w:type="paragraph" w:styleId="TOC1">
    <w:name w:val="toc 1"/>
    <w:basedOn w:val="Normal"/>
    <w:next w:val="Normal"/>
    <w:autoRedefine/>
    <w:uiPriority w:val="39"/>
    <w:unhideWhenUsed/>
    <w:rsid w:val="00B45653"/>
    <w:pPr>
      <w:spacing w:after="160" w:line="259" w:lineRule="auto"/>
      <w:ind w:firstLine="0"/>
    </w:pPr>
    <w:rPr>
      <w:rFonts w:ascii="Calibri" w:eastAsia="Calibri" w:hAnsi="Calibri"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5464">
      <w:bodyDiv w:val="1"/>
      <w:marLeft w:val="0"/>
      <w:marRight w:val="0"/>
      <w:marTop w:val="0"/>
      <w:marBottom w:val="0"/>
      <w:divBdr>
        <w:top w:val="none" w:sz="0" w:space="0" w:color="auto"/>
        <w:left w:val="none" w:sz="0" w:space="0" w:color="auto"/>
        <w:bottom w:val="none" w:sz="0" w:space="0" w:color="auto"/>
        <w:right w:val="none" w:sz="0" w:space="0" w:color="auto"/>
      </w:divBdr>
    </w:div>
    <w:div w:id="125316394">
      <w:bodyDiv w:val="1"/>
      <w:marLeft w:val="0"/>
      <w:marRight w:val="0"/>
      <w:marTop w:val="0"/>
      <w:marBottom w:val="0"/>
      <w:divBdr>
        <w:top w:val="none" w:sz="0" w:space="0" w:color="auto"/>
        <w:left w:val="none" w:sz="0" w:space="0" w:color="auto"/>
        <w:bottom w:val="none" w:sz="0" w:space="0" w:color="auto"/>
        <w:right w:val="none" w:sz="0" w:space="0" w:color="auto"/>
      </w:divBdr>
    </w:div>
    <w:div w:id="190344068">
      <w:bodyDiv w:val="1"/>
      <w:marLeft w:val="0"/>
      <w:marRight w:val="0"/>
      <w:marTop w:val="0"/>
      <w:marBottom w:val="0"/>
      <w:divBdr>
        <w:top w:val="none" w:sz="0" w:space="0" w:color="auto"/>
        <w:left w:val="none" w:sz="0" w:space="0" w:color="auto"/>
        <w:bottom w:val="none" w:sz="0" w:space="0" w:color="auto"/>
        <w:right w:val="none" w:sz="0" w:space="0" w:color="auto"/>
      </w:divBdr>
    </w:div>
    <w:div w:id="216746331">
      <w:bodyDiv w:val="1"/>
      <w:marLeft w:val="0"/>
      <w:marRight w:val="0"/>
      <w:marTop w:val="0"/>
      <w:marBottom w:val="0"/>
      <w:divBdr>
        <w:top w:val="none" w:sz="0" w:space="0" w:color="auto"/>
        <w:left w:val="none" w:sz="0" w:space="0" w:color="auto"/>
        <w:bottom w:val="none" w:sz="0" w:space="0" w:color="auto"/>
        <w:right w:val="none" w:sz="0" w:space="0" w:color="auto"/>
      </w:divBdr>
    </w:div>
    <w:div w:id="398091280">
      <w:bodyDiv w:val="1"/>
      <w:marLeft w:val="0"/>
      <w:marRight w:val="0"/>
      <w:marTop w:val="0"/>
      <w:marBottom w:val="0"/>
      <w:divBdr>
        <w:top w:val="none" w:sz="0" w:space="0" w:color="auto"/>
        <w:left w:val="none" w:sz="0" w:space="0" w:color="auto"/>
        <w:bottom w:val="none" w:sz="0" w:space="0" w:color="auto"/>
        <w:right w:val="none" w:sz="0" w:space="0" w:color="auto"/>
      </w:divBdr>
    </w:div>
    <w:div w:id="434863412">
      <w:bodyDiv w:val="1"/>
      <w:marLeft w:val="0"/>
      <w:marRight w:val="0"/>
      <w:marTop w:val="0"/>
      <w:marBottom w:val="0"/>
      <w:divBdr>
        <w:top w:val="none" w:sz="0" w:space="0" w:color="auto"/>
        <w:left w:val="none" w:sz="0" w:space="0" w:color="auto"/>
        <w:bottom w:val="none" w:sz="0" w:space="0" w:color="auto"/>
        <w:right w:val="none" w:sz="0" w:space="0" w:color="auto"/>
      </w:divBdr>
    </w:div>
    <w:div w:id="517744115">
      <w:bodyDiv w:val="1"/>
      <w:marLeft w:val="0"/>
      <w:marRight w:val="0"/>
      <w:marTop w:val="0"/>
      <w:marBottom w:val="0"/>
      <w:divBdr>
        <w:top w:val="none" w:sz="0" w:space="0" w:color="auto"/>
        <w:left w:val="none" w:sz="0" w:space="0" w:color="auto"/>
        <w:bottom w:val="none" w:sz="0" w:space="0" w:color="auto"/>
        <w:right w:val="none" w:sz="0" w:space="0" w:color="auto"/>
      </w:divBdr>
    </w:div>
    <w:div w:id="596400397">
      <w:bodyDiv w:val="1"/>
      <w:marLeft w:val="0"/>
      <w:marRight w:val="0"/>
      <w:marTop w:val="0"/>
      <w:marBottom w:val="0"/>
      <w:divBdr>
        <w:top w:val="none" w:sz="0" w:space="0" w:color="auto"/>
        <w:left w:val="none" w:sz="0" w:space="0" w:color="auto"/>
        <w:bottom w:val="none" w:sz="0" w:space="0" w:color="auto"/>
        <w:right w:val="none" w:sz="0" w:space="0" w:color="auto"/>
      </w:divBdr>
    </w:div>
    <w:div w:id="599408393">
      <w:bodyDiv w:val="1"/>
      <w:marLeft w:val="0"/>
      <w:marRight w:val="0"/>
      <w:marTop w:val="0"/>
      <w:marBottom w:val="0"/>
      <w:divBdr>
        <w:top w:val="none" w:sz="0" w:space="0" w:color="auto"/>
        <w:left w:val="none" w:sz="0" w:space="0" w:color="auto"/>
        <w:bottom w:val="none" w:sz="0" w:space="0" w:color="auto"/>
        <w:right w:val="none" w:sz="0" w:space="0" w:color="auto"/>
      </w:divBdr>
    </w:div>
    <w:div w:id="860316500">
      <w:bodyDiv w:val="1"/>
      <w:marLeft w:val="0"/>
      <w:marRight w:val="0"/>
      <w:marTop w:val="0"/>
      <w:marBottom w:val="0"/>
      <w:divBdr>
        <w:top w:val="none" w:sz="0" w:space="0" w:color="auto"/>
        <w:left w:val="none" w:sz="0" w:space="0" w:color="auto"/>
        <w:bottom w:val="none" w:sz="0" w:space="0" w:color="auto"/>
        <w:right w:val="none" w:sz="0" w:space="0" w:color="auto"/>
      </w:divBdr>
    </w:div>
    <w:div w:id="865682205">
      <w:bodyDiv w:val="1"/>
      <w:marLeft w:val="0"/>
      <w:marRight w:val="0"/>
      <w:marTop w:val="0"/>
      <w:marBottom w:val="0"/>
      <w:divBdr>
        <w:top w:val="none" w:sz="0" w:space="0" w:color="auto"/>
        <w:left w:val="none" w:sz="0" w:space="0" w:color="auto"/>
        <w:bottom w:val="none" w:sz="0" w:space="0" w:color="auto"/>
        <w:right w:val="none" w:sz="0" w:space="0" w:color="auto"/>
      </w:divBdr>
    </w:div>
    <w:div w:id="930352054">
      <w:bodyDiv w:val="1"/>
      <w:marLeft w:val="0"/>
      <w:marRight w:val="0"/>
      <w:marTop w:val="0"/>
      <w:marBottom w:val="0"/>
      <w:divBdr>
        <w:top w:val="none" w:sz="0" w:space="0" w:color="auto"/>
        <w:left w:val="none" w:sz="0" w:space="0" w:color="auto"/>
        <w:bottom w:val="none" w:sz="0" w:space="0" w:color="auto"/>
        <w:right w:val="none" w:sz="0" w:space="0" w:color="auto"/>
      </w:divBdr>
      <w:divsChild>
        <w:div w:id="388960382">
          <w:marLeft w:val="0"/>
          <w:marRight w:val="0"/>
          <w:marTop w:val="0"/>
          <w:marBottom w:val="0"/>
          <w:divBdr>
            <w:top w:val="none" w:sz="0" w:space="0" w:color="auto"/>
            <w:left w:val="none" w:sz="0" w:space="0" w:color="auto"/>
            <w:bottom w:val="none" w:sz="0" w:space="0" w:color="auto"/>
            <w:right w:val="none" w:sz="0" w:space="0" w:color="auto"/>
          </w:divBdr>
        </w:div>
      </w:divsChild>
    </w:div>
    <w:div w:id="1358580650">
      <w:bodyDiv w:val="1"/>
      <w:marLeft w:val="0"/>
      <w:marRight w:val="0"/>
      <w:marTop w:val="0"/>
      <w:marBottom w:val="0"/>
      <w:divBdr>
        <w:top w:val="none" w:sz="0" w:space="0" w:color="auto"/>
        <w:left w:val="none" w:sz="0" w:space="0" w:color="auto"/>
        <w:bottom w:val="none" w:sz="0" w:space="0" w:color="auto"/>
        <w:right w:val="none" w:sz="0" w:space="0" w:color="auto"/>
      </w:divBdr>
    </w:div>
    <w:div w:id="1398672552">
      <w:bodyDiv w:val="1"/>
      <w:marLeft w:val="0"/>
      <w:marRight w:val="0"/>
      <w:marTop w:val="0"/>
      <w:marBottom w:val="0"/>
      <w:divBdr>
        <w:top w:val="none" w:sz="0" w:space="0" w:color="auto"/>
        <w:left w:val="none" w:sz="0" w:space="0" w:color="auto"/>
        <w:bottom w:val="none" w:sz="0" w:space="0" w:color="auto"/>
        <w:right w:val="none" w:sz="0" w:space="0" w:color="auto"/>
      </w:divBdr>
    </w:div>
    <w:div w:id="1482886593">
      <w:bodyDiv w:val="1"/>
      <w:marLeft w:val="0"/>
      <w:marRight w:val="0"/>
      <w:marTop w:val="0"/>
      <w:marBottom w:val="0"/>
      <w:divBdr>
        <w:top w:val="none" w:sz="0" w:space="0" w:color="auto"/>
        <w:left w:val="none" w:sz="0" w:space="0" w:color="auto"/>
        <w:bottom w:val="none" w:sz="0" w:space="0" w:color="auto"/>
        <w:right w:val="none" w:sz="0" w:space="0" w:color="auto"/>
      </w:divBdr>
    </w:div>
    <w:div w:id="1511413672">
      <w:bodyDiv w:val="1"/>
      <w:marLeft w:val="0"/>
      <w:marRight w:val="0"/>
      <w:marTop w:val="0"/>
      <w:marBottom w:val="0"/>
      <w:divBdr>
        <w:top w:val="none" w:sz="0" w:space="0" w:color="auto"/>
        <w:left w:val="none" w:sz="0" w:space="0" w:color="auto"/>
        <w:bottom w:val="none" w:sz="0" w:space="0" w:color="auto"/>
        <w:right w:val="none" w:sz="0" w:space="0" w:color="auto"/>
      </w:divBdr>
    </w:div>
    <w:div w:id="18095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Version="">
  <b:Source>
    <b:Tag>Ver20</b:Tag>
    <b:SourceType>JournalArticle</b:SourceType>
    <b:Guid>{4B3D8AA7-BD79-4977-B872-7FAB2D335C08}</b:Guid>
    <b:Author>
      <b:Author>
        <b:NameList>
          <b:Person>
            <b:Last>Wilkins</b:Last>
            <b:First>Veronica</b:First>
          </b:Person>
        </b:NameList>
      </b:Author>
    </b:Author>
    <b:Title>Great Depression</b:Title>
    <b:Year>2020</b:Year>
    <b:Pages>36-47</b:Pages>
    <b:Publisher>PediaPress</b:Publisher>
    <b:RefOrder>1</b:RefOrder>
  </b:Source>
  <b:Source>
    <b:Tag>Dal17</b:Tag>
    <b:SourceType>JournalArticle</b:SourceType>
    <b:Guid>{363FCBDA-2CFD-4001-BC29-07F9D21090F9}</b:Guid>
    <b:Author>
      <b:Author>
        <b:NameList>
          <b:Person>
            <b:Last>Dallek</b:Last>
            <b:First>Robert</b:First>
          </b:Person>
        </b:NameList>
      </b:Author>
    </b:Author>
    <b:Title>A Political Life</b:Title>
    <b:JournalName>Franklin D. Roosevelt</b:JournalName>
    <b:Year>2017</b:Year>
    <b:Pages>78-89</b:Pages>
    <b:Publisher>Penguin</b:Publisher>
    <b:RefOrder>2</b:RefOrder>
  </b:Source>
  <b:Source>
    <b:Tag>Gel18</b:Tag>
    <b:SourceType>JournalArticle</b:SourceType>
    <b:Guid>{5F71CB17-FFB4-4757-B6B4-FC6BF7BDED9F}</b:Guid>
    <b:Author>
      <b:Author>
        <b:NameList>
          <b:Person>
            <b:Last>Gellman</b:Last>
            <b:First>Erik</b:First>
          </b:Person>
          <b:Person>
            <b:Last>Rung</b:Last>
            <b:First>Margaret</b:First>
          </b:Person>
        </b:NameList>
      </b:Author>
    </b:Author>
    <b:Title>The Great Depression</b:Title>
    <b:JournalName>Oxford Research Encyclopaedia of American History</b:JournalName>
    <b:Year>2018</b:Year>
    <b:Pages>85-99</b:Pages>
    <b:RefOrder>5</b:RefOrder>
  </b:Source>
  <b:Source>
    <b:Tag>Pet20</b:Tag>
    <b:SourceType>JournalArticle</b:SourceType>
    <b:Guid>{820EAF72-6133-4FFA-A354-DE449BA0BDE2}</b:Guid>
    <b:Author>
      <b:Author>
        <b:NameList>
          <b:Person>
            <b:Last>Petrosky-Nadeau</b:Last>
          </b:Person>
          <b:Person>
            <b:Last>Nicolas</b:Last>
          </b:Person>
          <b:Person>
            <b:Last>Lu</b:Last>
            <b:First>Zhang</b:First>
          </b:Person>
        </b:NameList>
      </b:Author>
    </b:Author>
    <b:Title>Unemployement Crises</b:Title>
    <b:JournalName>Journal of Monetary Economics</b:JournalName>
    <b:Year>2020</b:Year>
    <b:Pages>72-89</b:Pages>
    <b:RefOrder>6</b:RefOrder>
  </b:Source>
  <b:Source>
    <b:Tag>Smi20</b:Tag>
    <b:SourceType>JournalArticle</b:SourceType>
    <b:Guid>{CA8D0F56-6624-4614-AD53-F94CD7AAF1BC}</b:Guid>
    <b:Author>
      <b:Author>
        <b:NameList>
          <b:Person>
            <b:Last>Smith</b:Last>
            <b:First>Robert</b:First>
          </b:Person>
        </b:NameList>
      </b:Author>
    </b:Author>
    <b:Title>Democracy, Race, and the Socialist Projet in the Unites States</b:Title>
    <b:JournalName>National Review of Black Politics</b:JournalName>
    <b:Year>2020</b:Year>
    <b:Pages>34-48</b:Pages>
    <b:RefOrder>4</b:RefOrder>
  </b:Source>
  <b:Source>
    <b:Tag>Fet18</b:Tag>
    <b:SourceType>JournalArticle</b:SourceType>
    <b:Guid>{1266401A-8B71-4C9D-87FB-B5C14BEE2B38}</b:Guid>
    <b:Author>
      <b:Author>
        <b:NameList>
          <b:Person>
            <b:Last>Braik</b:Last>
            <b:First>Fethia</b:First>
          </b:Person>
        </b:NameList>
      </b:Author>
    </b:Author>
    <b:Title>New Deal for Minorities During the Great Depression</b:Title>
    <b:JournalName>Journal of Political Science and International Relations</b:JournalName>
    <b:Year>2018</b:Year>
    <b:Pages>20</b:Pages>
    <b:RefOrder>9</b:RefOrder>
  </b:Source>
  <b:Source>
    <b:Tag>ANA18</b:Tag>
    <b:SourceType>InternetSite</b:SourceType>
    <b:Guid>{45ABD168-DC94-4D1B-988B-86C5A1B083AD}</b:Guid>
    <b:Author>
      <b:Author>
        <b:NameList>
          <b:Person>
            <b:Last>ANA</b:Last>
          </b:Person>
        </b:NameList>
      </b:Author>
    </b:Author>
    <b:Title>Inclusion of Recognized Terminologies Supporting Nursing Practice within Ekectronic Health Records and Other Health Information Technology Solutions</b:Title>
    <b:InternetSiteTitle>American Nurses Association</b:InternetSiteTitle>
    <b:Year>2018</b:Year>
    <b:Month>04</b:Month>
    <b:Day>19</b:Day>
    <b:YearAccessed>2020</b:YearAccessed>
    <b:MonthAccessed>03</b:MonthAccessed>
    <b:DayAccessed>17</b:DayAccessed>
    <b:URL>https://www.nursingworld.org/practice-policy/nursing-excellence/official-position-statements/id/Inclusion-of-Recognized-Terminologies-Supporting-Nursing-Practice-within-Electronic-Health-Records/</b:URL>
    <b:RefOrder>1</b:RefOrder>
  </b:Source>
  <b:Source>
    <b:Tag>Mac18</b:Tag>
    <b:SourceType>InternetSite</b:SourceType>
    <b:Guid>{DE39C232-D740-451F-8458-45FB4F76AE02}</b:Guid>
    <b:Author>
      <b:Author>
        <b:NameList>
          <b:Person>
            <b:Last>Macieira</b:Last>
            <b:First>Tamara</b:First>
            <b:Middle>G. R.</b:Middle>
          </b:Person>
          <b:Person>
            <b:Last>Smith</b:Last>
            <b:First>Madison</b:First>
          </b:Person>
          <b:Person>
            <b:Last>Davis</b:Last>
            <b:First>Nicolle</b:First>
          </b:Person>
          <b:Person>
            <b:Last>Yao</b:Last>
            <b:First>Yingwei</b:First>
          </b:Person>
          <b:Person>
            <b:Last>Wilkie</b:Last>
            <b:Middle>J.</b:Middle>
            <b:First>Diana</b:First>
          </b:Person>
          <b:Person>
            <b:Last>Loez</b:Last>
            <b:Middle>Dunn</b:Middle>
            <b:First>Karen</b:First>
          </b:Person>
          <b:Person>
            <b:Last>Keenan</b:Last>
            <b:First>Gail</b:First>
          </b:Person>
        </b:NameList>
      </b:Author>
    </b:Author>
    <b:Title>Evidence of Progress ion Making Nursing Practice Visible Using Standardized Nursing Data: a Systematic Review</b:Title>
    <b:InternetSiteTitle>NCBI</b:InternetSiteTitle>
    <b:Year>2018</b:Year>
    <b:Month>04</b:Month>
    <b:Day>16</b:Day>
    <b:YearAccessed>2020</b:YearAccessed>
    <b:MonthAccessed>03</b:MonthAccessed>
    <b:DayAccessed>17</b:DayAccessed>
    <b:URL>https://www.ncbi.nlm.nih.gov/pmc/articles/PMC5977718/</b:URL>
    <b:RefOrder>2</b:RefOrder>
  </b:Source>
  <b:Source>
    <b:Tag>Gro20</b:Tag>
    <b:SourceType>InternetSite</b:SourceType>
    <b:Guid>{99C5C086-D3E2-4BBA-8E3D-01815C6E930B}</b:Guid>
    <b:Author>
      <b:Author>
        <b:NameList>
          <b:Person>
            <b:Last>Groot</b:Last>
            <b:First>Kim</b:First>
            <b:Middle>De</b:Middle>
          </b:Person>
          <b:Person>
            <b:Last>Anke</b:Last>
            <b:Middle>De</b:Middle>
            <b:First>Veer</b:First>
          </b:Person>
          <b:Person>
            <b:Last>Paans</b:Last>
            <b:First>Wolter</b:First>
          </b:Person>
          <b:Person>
            <b:Last>Francke</b:Last>
            <b:Middle>L.</b:Middle>
            <b:First>Anneke</b:First>
          </b:Person>
        </b:NameList>
      </b:Author>
    </b:Author>
    <b:Title>Use of electornic health records and standardized terminologies: A nationwide survey of nursing staff experiences</b:Title>
    <b:InternetSiteTitle>ScienceDirect</b:InternetSiteTitle>
    <b:Year>2020</b:Year>
    <b:Month>01</b:Month>
    <b:YearAccessed>2020</b:YearAccessed>
    <b:MonthAccessed>03</b:MonthAccessed>
    <b:DayAccessed>17</b:DayAccessed>
    <b:URL>https://doi.org/10.1016/j.ijnurstu.2020.103523</b:URL>
    <b:RefOrder>4</b:RefOrder>
  </b:Source>
  <b:Source>
    <b:Tag>Cat202</b:Tag>
    <b:SourceType>InternetSite</b:SourceType>
    <b:Guid>{42D3CDAC-5D56-410A-A911-CCEB1AD7BAE6}</b:Guid>
    <b:Author>
      <b:Author>
        <b:Corporate>Caterpillar Inc.</b:Corporate>
      </b:Author>
    </b:Author>
    <b:Title>CATERPILLAR STRATEGY</b:Title>
    <b:InternetSiteTitle>Caterpillar Inc.</b:InternetSiteTitle>
    <b:URL>https://www.caterpillar.com/en/company/strategy-purpose/strategy.html</b:URL>
    <b:YearAccessed>2020</b:YearAccessed>
    <b:MonthAccessed>11</b:MonthAccessed>
    <b:DayAccessed>03</b:DayAccessed>
    <b:RefOrder>1</b:RefOrder>
  </b:Source>
  <b:Source>
    <b:Tag>Wal20</b:Tag>
    <b:SourceType>InternetSite</b:SourceType>
    <b:Guid>{7D2FA4DD-8FE8-4952-906F-A787A484B8DA}</b:Guid>
    <b:Author>
      <b:Author>
        <b:Corporate>Walmart Inc.</b:Corporate>
      </b:Author>
    </b:Author>
    <b:Title>About</b:Title>
    <b:InternetSiteTitle>Walmart</b:InternetSiteTitle>
    <b:URL>https://corporate.walmart.com/</b:URL>
    <b:YearAccessed>2020</b:YearAccessed>
    <b:MonthAccessed>11</b:MonthAccessed>
    <b:DayAccessed>06</b:DayAccessed>
    <b:RefOrder>1</b:RefOrder>
  </b:Source>
  <b:Source>
    <b:Tag>Vis20</b:Tag>
    <b:SourceType>InternetSite</b:SourceType>
    <b:Guid>{4B2B4ADF-B197-4CDF-9D35-F34E14FC2225}</b:Guid>
    <b:Author>
      <b:Author>
        <b:Corporate>Visier</b:Corporate>
      </b:Author>
    </b:Author>
    <b:Title>Sabre reduced regrettable attrition from 9% to 7.5%</b:Title>
    <b:InternetSiteTitle>Visier</b:InternetSiteTitle>
    <b:URL>https://www.visier.com/customer-stories/sabre/</b:URL>
    <b:YearAccessed>2020</b:YearAccessed>
    <b:MonthAccessed>11</b:MonthAccessed>
    <b:DayAccessed>12</b:DayAccessed>
    <b:RefOrder>1</b:RefOrder>
  </b:Source>
  <b:Source>
    <b:Tag>Hes20</b:Tag>
    <b:SourceType>InternetSite</b:SourceType>
    <b:Guid>{D29DC216-7140-4753-97B8-0423C02F87EE}</b:Guid>
    <b:Author>
      <b:Author>
        <b:NameList>
          <b:Person>
            <b:Last>Hess</b:Last>
            <b:First>Sandra</b:First>
          </b:Person>
        </b:NameList>
      </b:Author>
    </b:Author>
    <b:Title>Talent Analytics and Business Outcomes</b:Title>
    <b:InternetSiteTitle>FurstPerson</b:InternetSiteTitle>
    <b:URL>https://www.furstperson.com/blog/people-analytics-strategy-challenges-and-how-to-overcome-them</b:URL>
    <b:YearAccessed>2020</b:YearAccessed>
    <b:MonthAccessed>11</b:MonthAccessed>
    <b:DayAccessed>12</b:DayAccessed>
    <b:RefOrder>2</b:RefOrder>
  </b:Source>
  <b:Source>
    <b:Tag>Mar202</b:Tag>
    <b:SourceType>InternetSite</b:SourceType>
    <b:Guid>{5E446CAF-6091-4461-831F-D3B6B1B10A74}</b:Guid>
    <b:Author>
      <b:Author>
        <b:NameList>
          <b:Person>
            <b:Last>Marr</b:Last>
            <b:First>Bernard</b:First>
          </b:Person>
        </b:NameList>
      </b:Author>
    </b:Author>
    <b:Title>Future Of People Analytics: What Lies Ahead For Data-Driven HR?</b:Title>
    <b:InternetSiteTitle>Forbes</b:InternetSiteTitle>
    <b:URL>https://www.forbes.com/sites/bernardmarr/2020/02/14/future-of-people-analytics-what-lies-ahead-for-data-driven-hr/?sh=42d7e23a3669</b:URL>
    <b:YearAccessed>2020</b:YearAccessed>
    <b:MonthAccessed>11</b:MonthAccessed>
    <b:DayAccessed>12</b:DayAccessed>
    <b:Year>2020</b:Year>
    <b:RefOrder>3</b:RefOrder>
  </b:Source>
  <b:Source>
    <b:Tag>Ide20</b:Tag>
    <b:SourceType>InternetSite</b:SourceType>
    <b:Guid>{72F00EE0-8BEC-4591-8FCC-CC65571F44E1}</b:Guid>
    <b:Author>
      <b:Author>
        <b:Corporate>Ideal</b:Corporate>
      </b:Author>
    </b:Author>
    <b:Title>People Analytics:</b:Title>
    <b:InternetSiteTitle>Ideal</b:InternetSiteTitle>
    <b:URL>https://ideal.com/people-analytics/</b:URL>
    <b:YearAccessed>2020</b:YearAccessed>
    <b:MonthAccessed>11</b:MonthAccessed>
    <b:DayAccessed>12</b:DayAccessed>
    <b:RefOrder>4</b:RefOrder>
  </b:Source>
  <b:Source>
    <b:Tag>Dai20</b:Tag>
    <b:SourceType>InternetSite</b:SourceType>
    <b:Guid>{166D8EA8-0F30-4EDB-BEFA-84B09FD54D1B}</b:Guid>
    <b:Author>
      <b:Author>
        <b:Corporate>Daimler</b:Corporate>
      </b:Author>
    </b:Author>
    <b:Title>Annual Report 2019</b:Title>
    <b:InternetSiteTitle>Annualreports</b:InternetSiteTitle>
    <b:URL>https://www.annualreports.com/HostedData/AnnualReports/PDF/NYSE_DAI_2019.pdf</b:URL>
    <b:YearAccessed>2020</b:YearAccessed>
    <b:MonthAccessed>11</b:MonthAccessed>
    <b:DayAccessed>22</b:DayAccessed>
    <b:RefOrder>1</b:RefOrder>
  </b:Source>
  <b:Source>
    <b:Tag>For20</b:Tag>
    <b:SourceType>InternetSite</b:SourceType>
    <b:Guid>{770C8886-E2A4-4E21-B4AD-4C601D3449FC}</b:Guid>
    <b:Author>
      <b:Author>
        <b:Corporate>Ford</b:Corporate>
      </b:Author>
    </b:Author>
    <b:Title>Ford Motor Company - 2018 Annual Report</b:Title>
    <b:InternetSiteTitle>Annualreports</b:InternetSiteTitle>
    <b:URL>https://www.annualreports.com/HostedData/AnnualReportArchive/f/NYSE_F_2018.pdf</b:URL>
    <b:YearAccessed>2020</b:YearAccessed>
    <b:MonthAccessed>11</b:MonthAccessed>
    <b:DayAccessed>22</b:DayAccessed>
    <b:RefOrder>2</b:RefOrder>
  </b:Source>
  <b:Source>
    <b:Tag>Bro20</b:Tag>
    <b:SourceType>InternetSite</b:SourceType>
    <b:Guid>{6C2C7EB1-5A8F-4DCF-A1A2-A761C5652752}</b:Guid>
    <b:Title>Opinion: The Rotting of the Republican Mind</b:Title>
    <b:Year>2020</b:Year>
    <b:InternetSiteTitle>The New York Times</b:InternetSiteTitle>
    <b:Month>11</b:Month>
    <b:Day>26</b:Day>
    <b:URL>https://www.nytimes.com/2020/11/26/opinion/republican-disinformation.html?searchResultPosition=3</b:URL>
    <b:Author>
      <b:Author>
        <b:NameList>
          <b:Person>
            <b:Last>Brooks</b:Last>
            <b:First>David</b:First>
          </b:Person>
        </b:NameList>
      </b:Author>
    </b:Author>
    <b:YearAccessed>2020</b:YearAccessed>
    <b:MonthAccessed>11</b:MonthAccessed>
    <b:DayAccessed>27</b:DayAccessed>
    <b:RefOrder>1</b:RefOrder>
  </b:Source>
  <b:Source>
    <b:Tag>CDC203</b:Tag>
    <b:SourceType>InternetSite</b:SourceType>
    <b:Guid>{F5CC80FE-FA24-40FA-AD82-5BDCC1C22F03}</b:Guid>
    <b:Author>
      <b:Author>
        <b:Corporate>CDC</b:Corporate>
      </b:Author>
    </b:Author>
    <b:Title>Tobacco-use cessation programs</b:Title>
    <b:InternetSiteTitle>CDC</b:InternetSiteTitle>
    <b:URL>https://www.cdc.gov/workplacehealthpromotion/health-strategies/tobacco-use/interventions/programs.html</b:URL>
    <b:YearAccessed>2020</b:YearAccessed>
    <b:MonthAccessed>11</b:MonthAccessed>
    <b:DayAccessed>28</b:DayAccessed>
    <b:RefOrder>1</b:RefOrder>
  </b:Source>
  <b:Source>
    <b:Tag>CDC204</b:Tag>
    <b:SourceType>InternetSite</b:SourceType>
    <b:Guid>{289421C8-8B8D-4458-BD9E-702EC45B80D8}</b:Guid>
    <b:Author>
      <b:Author>
        <b:Corporate>CDC</b:Corporate>
      </b:Author>
    </b:Author>
    <b:Title>Workplace Health Promotion: Leadership Support</b:Title>
    <b:InternetSiteTitle>Centers for Disease Control and Prevention</b:InternetSiteTitle>
    <b:URL>https://www.cdc.gov/workplacehealthpromotion/planning/leadership.html#:~:text=Leaders%20can%20act%20as%20models,and%20dedicate%20the%20necessary%20resources</b:URL>
    <b:YearAccessed>2020</b:YearAccessed>
    <b:MonthAccessed>11</b:MonthAccessed>
    <b:DayAccessed>28</b:DayAccessed>
    <b:RefOrder>2</b:RefOrder>
  </b:Source>
  <b:Source>
    <b:Tag>Ped09</b:Tag>
    <b:SourceType>InternetSite</b:SourceType>
    <b:Guid>{2E409C81-6578-4C90-965B-380F441FA8AE}</b:Guid>
    <b:Author>
      <b:Author>
        <b:Corporate>Pediatrics</b:Corporate>
      </b:Author>
    </b:Author>
    <b:Title>Media Violence</b:Title>
    <b:Year>2009</b:Year>
    <b:YearAccessed>2020</b:YearAccessed>
    <b:MonthAccessed>12</b:MonthAccessed>
    <b:DayAccessed>04</b:DayAccessed>
    <b:URL>https://pediatrics.aappublications.org/content/124/5/1495</b:URL>
    <b:RefOrder>1</b:RefOrder>
  </b:Source>
  <b:Source>
    <b:Tag>Dis21</b:Tag>
    <b:SourceType>InternetSite</b:SourceType>
    <b:Guid>{09A2612F-41B1-4951-BE39-DE92C46A71DD}</b:Guid>
    <b:Author>
      <b:Author>
        <b:Corporate>Speech and Language Disorders</b:Corporate>
      </b:Author>
    </b:Author>
    <b:Title>Implications in the Classroom</b:Title>
    <b:InternetSiteTitle>Speech and Language Disorders</b:InternetSiteTitle>
    <b:URL>https://speechandlanguagedisabilities.weebly.com/classroom-implications.html</b:URL>
    <b:YearAccessed>2021</b:YearAccessed>
    <b:MonthAccessed>01</b:MonthAccessed>
    <b:DayAccessed>09</b:DayAccessed>
    <b:RefOrder>1</b:RefOrder>
  </b:Source>
  <b:Source>
    <b:Tag>Tea21</b:Tag>
    <b:SourceType>InternetSite</b:SourceType>
    <b:Guid>{FB05D173-39C1-4963-A203-72C1946F008E}</b:Guid>
    <b:Author>
      <b:Author>
        <b:Corporate>The Understood Team</b:Corporate>
      </b:Author>
    </b:Author>
    <b:Title>Assistive Technology for Learning: What You Need to Know</b:Title>
    <b:InternetSiteTitle>Understood</b:InternetSiteTitle>
    <b:URL>https://www.understood.org/en/school-learning/assistive-technology/assistive-technologies-basics/assistive-technology-what-it-is-and-how-it-works?gclid=CjwKCAjw5dnmBRACEiwAmMYGOUT2mWoopeoW9rCZwEkEza2lsxE7jB45HXB89o6YxmBqK74jyhfW1xoC83oQAvD_BwE</b:URL>
    <b:YearAccessed>2021</b:YearAccessed>
    <b:MonthAccessed>01</b:MonthAccessed>
    <b:DayAccessed>09</b:DayAccessed>
    <b:RefOrder>2</b:RefOrder>
  </b:Source>
  <b:Source>
    <b:Tag>Uni1</b:Tag>
    <b:SourceType>InternetSite</b:SourceType>
    <b:Guid>{011C188E-24BB-4D85-8B28-52DA296A695C}</b:Guid>
    <b:Title>Decisions of the United States Supreme Court in Corporation Tax Cases</b:Title>
    <b:InternetSiteTitle>Google Books</b:InternetSiteTitle>
    <b:URL>https://books.google.co.ke/books?id=nCAtAAAAYAAJ&amp;pg=PA187&amp;lpg=PA187&amp;dq=In+distributing+the+power+of+taxation,+the+Constitution+retained+to+the+State+the+absolute+power+of+direct+taxation,+but+granted+to+the+Federal+government+the+power+of+the+same+taxatio</b:URL>
    <b:YearAccessed>2021</b:YearAccessed>
    <b:MonthAccessed>01</b:MonthAccessed>
    <b:DayAccessed>13</b:DayAccessed>
    <b:Author>
      <b:Author>
        <b:Corporate>United States Supreme Court</b:Corporate>
      </b:Author>
    </b:Author>
    <b:RefOrder>1</b:RefOrder>
  </b:Source>
  <b:Source>
    <b:Tag>USF</b:Tag>
    <b:SourceType>InternetSite</b:SourceType>
    <b:Guid>{7111731F-EC31-4579-B5CB-848DDC06D059}</b:Guid>
    <b:Author>
      <b:Author>
        <b:Corporate>U.S. Fish and Wildlife Service</b:Corporate>
      </b:Author>
    </b:Author>
    <b:Title>Endangered Species</b:Title>
    <b:InternetSiteTitle>U.S. Fish and Wildlife Service</b:InternetSiteTitle>
    <b:URL>https://www.fws.gov/policy/521fw4.html</b:URL>
    <b:YearAccessed>2021</b:YearAccessed>
    <b:MonthAccessed>01</b:MonthAccessed>
    <b:DayAccessed>13</b:DayAccessed>
    <b:RefOrder>2</b:RefOrder>
  </b:Source>
  <b:Source>
    <b:Tag>Mah21</b:Tag>
    <b:SourceType>InternetSite</b:SourceType>
    <b:Guid>{583FB827-9D65-436D-8373-26245AA63A5B}</b:Guid>
    <b:Author>
      <b:Author>
        <b:Corporate>Maharishi School</b:Corporate>
      </b:Author>
    </b:Author>
    <b:Title>Science of Creative Intelligence</b:Title>
    <b:InternetSiteTitle>Maharishi School</b:InternetSiteTitle>
    <b:URL>https://maharishischool.org/we-are-different-our-unique-approach/science-of-creative-intelligence-making-connections/#:~:text=The%20Science%20of%20Creative%20Intelligence%20curriculum%20has%20a%20different%20focus,traditions%20of%20knowledge%20and%20knowi</b:URL>
    <b:YearAccessed>2021</b:YearAccessed>
    <b:MonthAccessed>02</b:MonthAccessed>
    <b:DayAccessed>20</b:DayAccessed>
    <b:RefOrder>1</b:RefOrder>
  </b:Source>
  <b:Source>
    <b:Tag>Tar21</b:Tag>
    <b:SourceType>InternetSite</b:SourceType>
    <b:Guid>{8808CCC1-6B10-4350-B442-65A5F1E5685D}</b:Guid>
    <b:Author>
      <b:Author>
        <b:Corporate>Target</b:Corporate>
      </b:Author>
    </b:Author>
    <b:Title>all about Target</b:Title>
    <b:InternetSiteTitle>Target</b:InternetSiteTitle>
    <b:URL>https://corporate.target.com/about</b:URL>
    <b:YearAccessed>2021</b:YearAccessed>
    <b:MonthAccessed>02</b:MonthAccessed>
    <b:DayAccessed>21</b:DayAccessed>
    <b:RefOrder>1</b:RefOrder>
  </b:Source>
  <b:Source>
    <b:Tag>Tar</b:Tag>
    <b:SourceType>InternetSite</b:SourceType>
    <b:Guid>{CEB18060-466F-4E05-A7A8-2522E2EBF07B}</b:Guid>
    <b:Title>MUTUAL NON-DISCLOSURE AGREEMENT AND BLOGGING RESPONSIBILITIES</b:Title>
    <b:InternetSiteTitle>Target</b:InternetSiteTitle>
    <b:URL>http://tgtfiles.target.com/lookbook_springsummerHome2012/terms.html</b:URL>
    <b:YearAccessed>2021</b:YearAccessed>
    <b:MonthAccessed>02</b:MonthAccessed>
    <b:DayAccessed>21</b:DayAccessed>
    <b:Author>
      <b:Author>
        <b:Corporate>Target</b:Corporate>
      </b:Author>
    </b:Author>
    <b:RefOrder>2</b:RefOrder>
  </b:Source>
  <b:Source>
    <b:Tag>Abr17</b:Tag>
    <b:SourceType>InternetSite</b:SourceType>
    <b:Guid>{29B6BB7B-6AC8-4178-BE13-2577BB2E9BAC}</b:Guid>
    <b:Author>
      <b:Author>
        <b:NameList>
          <b:Person>
            <b:Last>Abrams</b:Last>
            <b:First>Rachel</b:First>
          </b:Person>
        </b:NameList>
      </b:Author>
    </b:Author>
    <b:Title>Target to Pay $18.5 Million to 47 States in Security Breach Settlement</b:Title>
    <b:InternetSiteTitle>The New York Times</b:InternetSiteTitle>
    <b:Year>2017</b:Year>
    <b:Month>05</b:Month>
    <b:Day>23</b:Day>
    <b:URL>https://www.nytimes.com/2017/05/23/business/target-security-breach-settlement.html</b:URL>
    <b:YearAccessed>2021</b:YearAccessed>
    <b:MonthAccessed>02</b:MonthAccessed>
    <b:DayAccessed>21</b:DayAccessed>
    <b:RefOrder>3</b:RefOrder>
  </b:Source>
  <b:Source>
    <b:Tag>Fin21</b:Tag>
    <b:SourceType>InternetSite</b:SourceType>
    <b:Guid>{9139F8BC-A9D4-4885-A2F7-EF26908D45F3}</b:Guid>
    <b:Author>
      <b:Author>
        <b:Corporate>FindLaw</b:Corporate>
      </b:Author>
    </b:Author>
    <b:Title>TARGET CORPORATION v. LAZARO KAUFER KATIA KAUFER</b:Title>
    <b:InternetSiteTitle>FindLaw</b:InternetSiteTitle>
    <b:URL>https://caselaw.findlaw.com/fl-district-court-of-appeal/1894547.html</b:URL>
    <b:YearAccessed>2021</b:YearAccessed>
    <b:MonthAccessed>02</b:MonthAccessed>
    <b:DayAccessed>21</b:DayAccessed>
    <b:RefOrder>4</b:RefOrder>
  </b:Source>
  <b:Source>
    <b:Tag>BİL18</b:Tag>
    <b:SourceType>InternetSite</b:SourceType>
    <b:Guid>{00C0BD8D-3814-4361-BEFE-FFA4C8F82B00}</b:Guid>
    <b:Title>WİT FİLMİ TÜRKÇE ALT YAZILI İZLE</b:Title>
    <b:InternetSiteTitle>Youtube</b:InternetSiteTitle>
    <b:Year>2018</b:Year>
    <b:URL>https://www.youtube.com/watch?v=2s4ozvI_hzY</b:URL>
    <b:YearAccessed>2021</b:YearAccessed>
    <b:MonthAccessed>03</b:MonthAccessed>
    <b:DayAccessed>12</b:DayAccessed>
    <b:Author>
      <b:Author>
        <b:Corporate>BİLİNMEYEN VİDEO 2</b:Corporate>
      </b:Author>
    </b:Author>
    <b:RefOrder>1</b:RefOrder>
  </b:Source>
  <b:Source>
    <b:Tag>CNN21</b:Tag>
    <b:SourceType>InternetSite</b:SourceType>
    <b:Guid>{364E502B-C800-4A7B-AC5A-28052130F422}</b:Guid>
    <b:Author>
      <b:Author>
        <b:Corporate>CNN</b:Corporate>
      </b:Author>
    </b:Author>
    <b:Title>READ: Youth poet laureate Amanda Gorman's inaugural poem</b:Title>
    <b:Year>2021</b:Year>
    <b:Month>01</b:Month>
    <b:Day>21</b:Day>
    <b:YearAccessed>2021</b:YearAccessed>
    <b:MonthAccessed>03</b:MonthAccessed>
    <b:DayAccessed>17</b:DayAccessed>
    <b:Medium>CNN</b:Medium>
    <b:URL>https://edition.cnn.com/2021/01/20/politics/amanda-gorman-inaugural-poem-transcript/index.html</b:URL>
    <b:RefOrder>1</b:RefOrder>
  </b:Source>
  <b:Source>
    <b:Tag>Duk121</b:Tag>
    <b:SourceType>InternetSite</b:SourceType>
    <b:Guid>{5EDE37DE-B6B7-4198-9B98-69545DCDC19B}</b:Guid>
    <b:Author>
      <b:Author>
        <b:NameList>
          <b:Person>
            <b:Last>Dukes</b:Last>
            <b:First>AJ</b:First>
          </b:Person>
        </b:NameList>
      </b:Author>
    </b:Author>
    <b:Title>Defensive v Supportive Climates in the Workplace</b:Title>
    <b:Year>2012</b:Year>
    <b:Month>07</b:Month>
    <b:Day>06</b:Day>
    <b:URL>http://scom320class.blogspot.com/2012/07/defensive-v-supportive-climates-in.html</b:URL>
    <b:YearAccessed>2021</b:YearAccessed>
    <b:MonthAccessed>03</b:MonthAccessed>
    <b:DayAccessed>18</b:DayAccessed>
    <b:RefOrder>1</b:RefOrder>
  </b:Source>
  <b:Source>
    <b:Tag>Cla11</b:Tag>
    <b:SourceType>InternetSite</b:SourceType>
    <b:Guid>{861D4337-6FA8-4554-BB0D-E252EE409B3C}</b:Guid>
    <b:Author>
      <b:Author>
        <b:NameList>
          <b:Person>
            <b:Last>Clayton</b:Last>
            <b:First>Mike</b:First>
          </b:Person>
        </b:NameList>
      </b:Author>
    </b:Author>
    <b:Title>SWIFT TRUST–WHY SOME TEAMS DON’T STORM</b:Title>
    <b:InternetSiteTitle>Management Pocketbooks</b:InternetSiteTitle>
    <b:Year>2011</b:Year>
    <b:Month>04</b:Month>
    <b:Day>26</b:Day>
    <b:URL>http://www.pocketbook.co.uk/blog/2011/04/26/swift-trustwhy-some-teams-dont-storm/</b:URL>
    <b:YearAccessed>2021</b:YearAccessed>
    <b:MonthAccessed>03</b:MonthAccessed>
    <b:DayAccessed>18</b:DayAccessed>
    <b:RefOrder>2</b:RefOrder>
  </b:Source>
  <b:Source>
    <b:Tag>Mar21</b:Tag>
    <b:SourceType>InternetSite</b:SourceType>
    <b:Guid>{91A5C540-0CA9-484F-BBCF-51F8177994B9}</b:Guid>
    <b:Author>
      <b:Author>
        <b:Corporate>MarineMax</b:Corporate>
      </b:Author>
    </b:Author>
    <b:Title>About Us</b:Title>
    <b:InternetSiteTitle>MarineMax Yachts</b:InternetSiteTitle>
    <b:URL>https://www.marinemax.com/yachts/about</b:URL>
    <b:YearAccessed>2021</b:YearAccessed>
    <b:MonthAccessed>03</b:MonthAccessed>
    <b:DayAccessed>28</b:DayAccessed>
    <b:RefOrder>1</b:RefOrder>
  </b:Source>
  <b:Source>
    <b:Tag>Sch201</b:Tag>
    <b:SourceType>InternetSite</b:SourceType>
    <b:Guid>{11A141BA-3E82-4FA5-9856-EC65DE819EA0}</b:Guid>
    <b:Author>
      <b:Author>
        <b:NameList>
          <b:Person>
            <b:Last>Schmelzer</b:Last>
            <b:First>Ron</b:First>
          </b:Person>
        </b:NameList>
      </b:Author>
    </b:Author>
    <b:Title>How Do You Test AI Systems?</b:Title>
    <b:InternetSiteTitle>Forbes</b:InternetSiteTitle>
    <b:Year>2020</b:Year>
    <b:Month>01</b:Month>
    <b:Day>03</b:Day>
    <b:URL>https://www.forbes.com/sites/cognitiveworld/2020/01/03/how-do-you-test-ai-systems/?sh=7511a5cdafd5</b:URL>
    <b:YearAccessed>2021</b:YearAccessed>
    <b:MonthAccessed>03</b:MonthAccessed>
    <b:DayAccessed>28</b:DayAccessed>
    <b:RefOrder>2</b:RefOrder>
  </b:Source>
  <b:Source>
    <b:Tag>Les19</b:Tag>
    <b:SourceType>InternetSite</b:SourceType>
    <b:Guid>{84FE632B-76D1-4C77-87F3-BD40D8B5AF04}</b:Guid>
    <b:Author>
      <b:Author>
        <b:NameList>
          <b:Person>
            <b:Last>Leswing</b:Last>
            <b:First>Kif</b:First>
          </b:Person>
        </b:NameList>
      </b:Author>
    </b:Author>
    <b:Title>Here’s why Apple is so vulnerable to a trade war with China</b:Title>
    <b:InternetSiteTitle>CNBC</b:InternetSiteTitle>
    <b:Year>2019</b:Year>
    <b:Month>05</b:Month>
    <b:Day>13</b:Day>
    <b:URL>https://www.cnbc.com/2019/05/13/why-is-apple-so-vulnerable-to-a-trade-war-with-china.html</b:URL>
    <b:YearAccessed>2021</b:YearAccessed>
    <b:MonthAccessed>04</b:MonthAccessed>
    <b:DayAccessed>03</b:DayAccessed>
    <b:RefOrder>1</b:RefOrder>
  </b:Source>
  <b:Source>
    <b:Tag>Cam19</b:Tag>
    <b:SourceType>InternetSite</b:SourceType>
    <b:Guid>{2C5C98F5-9DB1-4E9B-AA0A-59F6B81EE8AE}</b:Guid>
    <b:Author>
      <b:Author>
        <b:NameList>
          <b:Person>
            <b:Last>Campbell</b:Last>
            <b:First>Mikey</b:First>
          </b:Person>
        </b:NameList>
      </b:Author>
    </b:Author>
    <b:Title>Apple iPhone shipments declined 30% in Q1, now in third place behind Samsung and Huawei</b:Title>
    <b:InternetSiteTitle>AppleInsider</b:InternetSiteTitle>
    <b:Year>2019</b:Year>
    <b:Month>04</b:Month>
    <b:Day>30</b:Day>
    <b:URL>https://appleinsider.com/articles/19/04/30/apple-iphone-shipments-declined-30-in-q1-now-in-third-place-behind-samsung-and-huawei</b:URL>
    <b:YearAccessed>2021</b:YearAccessed>
    <b:MonthAccessed>04</b:MonthAccessed>
    <b:DayAccessed>03</b:DayAccessed>
    <b:RefOrder>2</b:RefOrder>
  </b:Source>
  <b:Source>
    <b:Tag>The17</b:Tag>
    <b:SourceType>InternetSite</b:SourceType>
    <b:Guid>{A5FECB27-A4D3-4815-B791-577571E79707}</b:Guid>
    <b:Author>
      <b:Author>
        <b:Corporate>The Joint Commission</b:Corporate>
      </b:Author>
    </b:Author>
    <b:Title>Speak Up Antibiotics Know the Facts</b:Title>
    <b:InternetSiteTitle>The Joint Commission</b:InternetSiteTitle>
    <b:Year>2017</b:Year>
    <b:Month>02</b:Month>
    <b:URL>https://www.jointcommission.org/resources/for-consumers/speak-up-campaigns/antibiotics-know-the-facts/</b:URL>
    <b:YearAccessed>2021</b:YearAccessed>
    <b:MonthAccessed>04</b:MonthAccessed>
    <b:DayAccessed>06</b:DayAccessed>
    <b:RefOrder>1</b:RefOrder>
  </b:Source>
  <b:Source>
    <b:Tag>CNN20</b:Tag>
    <b:SourceType>InternetSite</b:SourceType>
    <b:Guid>{74547AFE-989A-4CDE-9443-0B98A99FAA01}</b:Guid>
    <b:Author>
      <b:Author>
        <b:Corporate>CNN</b:Corporate>
      </b:Author>
    </b:Author>
    <b:Title>How we express emotions</b:Title>
    <b:InternetSiteTitle>CNN</b:InternetSiteTitle>
    <b:Year>2020</b:Year>
    <b:URL>https://edition.cnn.com/interactive/2020/06/world/coronavirus-body-language-wellness/</b:URL>
    <b:YearAccessed>2021</b:YearAccessed>
    <b:MonthAccessed>04</b:MonthAccessed>
    <b:DayAccessed>16</b:DayAccessed>
    <b:RefOrder>1</b:RefOrder>
  </b:Source>
  <b:Source>
    <b:Tag>Lin201</b:Tag>
    <b:SourceType>InternetSite</b:SourceType>
    <b:Guid>{857A0F48-C4C3-466C-9DEB-5C64D0C75844}</b:Guid>
    <b:Author>
      <b:Author>
        <b:NameList>
          <b:Person>
            <b:Last>Lindberg</b:Last>
            <b:First>Sara</b:First>
          </b:Person>
        </b:NameList>
      </b:Author>
    </b:Author>
    <b:Title>COVID-19 Is Changing the Way we Communicate—Here’s How</b:Title>
    <b:InternetSiteTitle>Verywellmind</b:InternetSiteTitle>
    <b:Year>2020</b:Year>
    <b:Month>08</b:Month>
    <b:Day>06</b:Day>
    <b:URL>https://www.verywellmind.com/communication-adaptation-in-the-time-of-covid-5073146</b:URL>
    <b:YearAccessed>2021</b:YearAccessed>
    <b:MonthAccessed>04</b:MonthAccessed>
    <b:DayAccessed>16</b:DayAccessed>
    <b:RefOrder>2</b:RefOrder>
  </b:Source>
  <b:Source>
    <b:Tag>Dem21</b:Tag>
    <b:SourceType>InternetSite</b:SourceType>
    <b:Guid>{18A29DA3-42E8-402C-AE3E-5BE7FE402BBD}</b:Guid>
    <b:Author>
      <b:Author>
        <b:Corporate>Democrats</b:Corporate>
      </b:Author>
    </b:Author>
    <b:Title>HEALTH CARE</b:Title>
    <b:InternetSiteTitle>Democrats</b:InternetSiteTitle>
    <b:URL>https://democrats.org/where-we-stand/the-issues/health-care/</b:URL>
    <b:YearAccessed>2021</b:YearAccessed>
    <b:MonthAccessed>05</b:MonthAccessed>
    <b:DayAccessed>14</b:DayAccessed>
    <b:RefOrder>1</b:RefOrder>
  </b:Source>
  <b:Source>
    <b:Tag>OnT21</b:Tag>
    <b:SourceType>InternetSite</b:SourceType>
    <b:Guid>{0F207050-4D1B-41B4-AB5A-8D6F3AA82A31}</b:Guid>
    <b:Author>
      <b:Author>
        <b:Corporate>On The Issues</b:Corporate>
      </b:Author>
    </b:Author>
    <b:Title>Democratic Party on Health Care</b:Title>
    <b:InternetSiteTitle>On The Issues</b:InternetSiteTitle>
    <b:URL>https://www.ontheissues.org/celeb/democratic_party_health_care.htm</b:URL>
    <b:YearAccessed>2021</b:YearAccessed>
    <b:MonthAccessed>05</b:MonthAccessed>
    <b:DayAccessed>14</b:DayAccessed>
    <b:RefOrder>2</b:RefOrder>
  </b:Source>
  <b:Source>
    <b:Tag>Uhr20</b:Tag>
    <b:SourceType>InternetSite</b:SourceType>
    <b:Guid>{1A2E910F-94F6-4381-AA0D-C8A73DDBE6A9}</b:Guid>
    <b:Author>
      <b:Author>
        <b:NameList>
          <b:Person>
            <b:Last>Uhrmacher</b:Last>
            <b:First>Kevin</b:First>
          </b:Person>
          <b:Person>
            <b:Last>Schaul</b:Last>
            <b:First>Kevin</b:First>
          </b:Person>
          <b:Person>
            <b:Last>Firozi</b:Last>
            <b:First>Paulina</b:First>
          </b:Person>
          <b:Person>
            <b:Last>Stein</b:Last>
            <b:First>Jeff</b:First>
          </b:Person>
        </b:NameList>
      </b:Author>
    </b:Author>
    <b:Title>Where 2020 Democrats stand on</b:Title>
    <b:InternetSiteTitle>The Washington Post</b:InternetSiteTitle>
    <b:Year>2020</b:Year>
    <b:Month>04</b:Month>
    <b:Day>08</b:Day>
    <b:URL>https://www.washingtonpost.com/graphics/politics/policy-2020/medicare-for-all/</b:URL>
    <b:YearAccessed>2021</b:YearAccessed>
    <b:MonthAccessed>05</b:MonthAccessed>
    <b:DayAccessed>14</b:DayAccessed>
    <b:RefOrder>3</b:RefOrder>
  </b:Source>
  <b:Source>
    <b:Tag>OnT211</b:Tag>
    <b:SourceType>InternetSite</b:SourceType>
    <b:Guid>{1E299AE3-A4FA-4FCF-8163-4997A5DB03F3}</b:Guid>
    <b:Author>
      <b:Author>
        <b:Corporate>On The Issues</b:Corporate>
      </b:Author>
    </b:Author>
    <b:Title>Libertarian Party on Health Care</b:Title>
    <b:InternetSiteTitle>On The Issues</b:InternetSiteTitle>
    <b:URL>https://www.ontheissues.org/celeb/Libertarian_Party_Health_Care.htm</b:URL>
    <b:YearAccessed>2021</b:YearAccessed>
    <b:MonthAccessed>05</b:MonthAccessed>
    <b:DayAccessed>14</b:DayAccessed>
    <b:RefOrder>4</b:RefOrder>
  </b:Source>
  <b:Source>
    <b:Tag>Lib21</b:Tag>
    <b:SourceType>InternetSite</b:SourceType>
    <b:Guid>{76399F1C-A2F8-4217-8C29-22830644FF91}</b:Guid>
    <b:Author>
      <b:Author>
        <b:Corporate>Libertarian The Party of Principle</b:Corporate>
      </b:Author>
    </b:Author>
    <b:Title>Healthcare</b:Title>
    <b:InternetSiteTitle>Libertarian The Party of Principle</b:InternetSiteTitle>
    <b:URL>https://www.lp.org/issues/healthcare/</b:URL>
    <b:YearAccessed>2021</b:YearAccessed>
    <b:MonthAccessed>05</b:MonthAccessed>
    <b:DayAccessed>14</b:DayAccessed>
    <b:RefOrder>5</b:RefOrder>
  </b:Source>
</b:Sources>
</file>

<file path=customXml/itemProps1.xml><?xml version="1.0" encoding="utf-8"?>
<ds:datastoreItem xmlns:ds="http://schemas.openxmlformats.org/officeDocument/2006/customXml" ds:itemID="{F51B955D-02FE-44D6-B292-DC0F0B34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27438</TotalTime>
  <Pages>5</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Introduction</vt:lpstr>
    </vt:vector>
  </TitlesOfParts>
  <Company/>
  <LinksUpToDate>false</LinksUpToDate>
  <CharactersWithSpaces>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User</dc:creator>
  <cp:keywords/>
  <dc:description/>
  <cp:lastModifiedBy>User</cp:lastModifiedBy>
  <cp:revision>481</cp:revision>
  <dcterms:created xsi:type="dcterms:W3CDTF">2021-02-06T18:18:00Z</dcterms:created>
  <dcterms:modified xsi:type="dcterms:W3CDTF">2021-05-20T08:38:00Z</dcterms:modified>
</cp:coreProperties>
</file>