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8EA" w:rsidRPr="004508E3" w:rsidRDefault="007E78EA" w:rsidP="007E78EA">
      <w:pPr>
        <w:tabs>
          <w:tab w:val="left" w:pos="3705"/>
          <w:tab w:val="center" w:pos="4513"/>
          <w:tab w:val="left" w:pos="6570"/>
        </w:tabs>
        <w:spacing w:line="480" w:lineRule="auto"/>
        <w:jc w:val="center"/>
        <w:rPr>
          <w:rFonts w:ascii="Times New Roman" w:hAnsi="Times New Roman" w:cs="Times New Roman"/>
          <w:b/>
          <w:sz w:val="24"/>
          <w:szCs w:val="24"/>
        </w:rPr>
      </w:pPr>
      <w:r w:rsidRPr="004508E3">
        <w:rPr>
          <w:rFonts w:ascii="Times New Roman" w:hAnsi="Times New Roman" w:cs="Times New Roman"/>
          <w:b/>
          <w:sz w:val="24"/>
          <w:szCs w:val="24"/>
        </w:rPr>
        <w:t>Competence in Post-Acute Care</w:t>
      </w:r>
    </w:p>
    <w:p w:rsidR="00C408AF" w:rsidRPr="004508E3" w:rsidRDefault="00C408AF" w:rsidP="007E78EA">
      <w:pPr>
        <w:spacing w:line="480" w:lineRule="auto"/>
        <w:ind w:firstLine="720"/>
        <w:rPr>
          <w:rFonts w:ascii="Times New Roman" w:hAnsi="Times New Roman" w:cs="Times New Roman"/>
          <w:sz w:val="24"/>
          <w:szCs w:val="24"/>
        </w:rPr>
      </w:pPr>
      <w:r w:rsidRPr="004508E3">
        <w:rPr>
          <w:rFonts w:ascii="Times New Roman" w:hAnsi="Times New Roman" w:cs="Times New Roman"/>
          <w:sz w:val="24"/>
          <w:szCs w:val="24"/>
        </w:rPr>
        <w:t>Post-acute care organizational culture is a professional discipline in its own right, requirin</w:t>
      </w:r>
      <w:r w:rsidR="007E78EA" w:rsidRPr="004508E3">
        <w:rPr>
          <w:rFonts w:ascii="Times New Roman" w:hAnsi="Times New Roman" w:cs="Times New Roman"/>
          <w:sz w:val="24"/>
          <w:szCs w:val="24"/>
        </w:rPr>
        <w:t>g experience and responsibility</w:t>
      </w:r>
      <w:r w:rsidRPr="004508E3">
        <w:rPr>
          <w:rFonts w:ascii="Times New Roman" w:hAnsi="Times New Roman" w:cs="Times New Roman"/>
          <w:sz w:val="24"/>
          <w:szCs w:val="24"/>
        </w:rPr>
        <w:t xml:space="preserve"> in the executive position. Healthcare organizations will merge to form a dominant paradigm of coordinated healthcare services. As a result, marketplace executive leadership is critical to clinical system performance. Nursing care should be consistent with the potential state of care, and an integrated paradigm for healthcare services in which the hospital is not central to the delivery method and the medical care framework is the focal point (Giles et al., 2017)</w:t>
      </w:r>
    </w:p>
    <w:p w:rsidR="00C408AF" w:rsidRPr="004508E3" w:rsidRDefault="00C408AF" w:rsidP="007E78EA">
      <w:pPr>
        <w:spacing w:line="480" w:lineRule="auto"/>
        <w:ind w:firstLine="720"/>
        <w:rPr>
          <w:rFonts w:ascii="Times New Roman" w:hAnsi="Times New Roman" w:cs="Times New Roman"/>
          <w:sz w:val="24"/>
          <w:szCs w:val="24"/>
        </w:rPr>
      </w:pPr>
      <w:r w:rsidRPr="004508E3">
        <w:rPr>
          <w:rFonts w:ascii="Times New Roman" w:hAnsi="Times New Roman" w:cs="Times New Roman"/>
          <w:sz w:val="24"/>
          <w:szCs w:val="24"/>
        </w:rPr>
        <w:t>For successful post-acute care in the healthcare system, there is a need to advance more on some strategies to ensure success. Rendering home as the primary discharge location is one strategy to implement; collaboration with Post-Acute-Care services is needed to manage the duration of stay in inpatient recovery settings and care homes. Decrease readmissions, keep an eye out for deception, duplication, and harassment; this way, there will be a reduction in illegal goods and help increase efficiency and health care provisions, and lastly, create efficient Post-acute-care service providers. This way, there will be effective healthcare reach out in all areas (Hill, 2018)</w:t>
      </w:r>
    </w:p>
    <w:p w:rsidR="00C408AF" w:rsidRPr="004508E3" w:rsidRDefault="00C408AF" w:rsidP="007E78EA">
      <w:pPr>
        <w:spacing w:line="480" w:lineRule="auto"/>
        <w:ind w:firstLine="720"/>
        <w:rPr>
          <w:rFonts w:ascii="Times New Roman" w:hAnsi="Times New Roman" w:cs="Times New Roman"/>
          <w:sz w:val="24"/>
          <w:szCs w:val="24"/>
        </w:rPr>
      </w:pPr>
      <w:r w:rsidRPr="004508E3">
        <w:rPr>
          <w:rFonts w:ascii="Times New Roman" w:hAnsi="Times New Roman" w:cs="Times New Roman"/>
          <w:sz w:val="24"/>
          <w:szCs w:val="24"/>
        </w:rPr>
        <w:t xml:space="preserve">Planning towards post-surgical recovery to household will help to minimize expenditure while also making it more straightforward for patients to return home. Support project patients around save money and make them safer by lowering the risk of falls and institutional illnesses. Reducing the duration of stay to what is clinically acceptable for specific patients necessitates a study of inpatient unit periods at the same time. Case managers must work with discharge preparation teams to make the patient's return home as smooth as possible. Cut back on readmissions. The substantial activity in re-hospitalization </w:t>
      </w:r>
      <w:r w:rsidRPr="004508E3">
        <w:rPr>
          <w:rFonts w:ascii="Times New Roman" w:hAnsi="Times New Roman" w:cs="Times New Roman"/>
          <w:sz w:val="24"/>
          <w:szCs w:val="24"/>
        </w:rPr>
        <w:lastRenderedPageBreak/>
        <w:t>reduction should be reconsidered by minimizing readmission; this will allow increased productivity and profitability in the provision of serv</w:t>
      </w:r>
      <w:bookmarkStart w:id="0" w:name="_GoBack"/>
      <w:bookmarkEnd w:id="0"/>
      <w:r w:rsidRPr="004508E3">
        <w:rPr>
          <w:rFonts w:ascii="Times New Roman" w:hAnsi="Times New Roman" w:cs="Times New Roman"/>
          <w:sz w:val="24"/>
          <w:szCs w:val="24"/>
        </w:rPr>
        <w:t>ices (Dainty et al., 2018)</w:t>
      </w:r>
    </w:p>
    <w:p w:rsidR="00F9576E" w:rsidRPr="004508E3" w:rsidRDefault="004508E3" w:rsidP="007E78EA">
      <w:pPr>
        <w:spacing w:line="480" w:lineRule="auto"/>
        <w:rPr>
          <w:rFonts w:ascii="Times New Roman" w:hAnsi="Times New Roman" w:cs="Times New Roman"/>
          <w:b/>
          <w:sz w:val="24"/>
          <w:szCs w:val="24"/>
        </w:rPr>
      </w:pPr>
      <w:r>
        <w:rPr>
          <w:rFonts w:ascii="Times New Roman" w:hAnsi="Times New Roman" w:cs="Times New Roman"/>
          <w:b/>
          <w:sz w:val="24"/>
          <w:szCs w:val="24"/>
        </w:rPr>
        <w:t>References</w:t>
      </w:r>
    </w:p>
    <w:p w:rsidR="00EA6EC2" w:rsidRPr="004508E3" w:rsidRDefault="00EA6EC2" w:rsidP="007E78EA">
      <w:pPr>
        <w:spacing w:line="480" w:lineRule="auto"/>
        <w:rPr>
          <w:rFonts w:ascii="Times New Roman" w:hAnsi="Times New Roman" w:cs="Times New Roman"/>
          <w:sz w:val="24"/>
          <w:szCs w:val="24"/>
          <w:shd w:val="clear" w:color="auto" w:fill="FFFFFF"/>
        </w:rPr>
      </w:pPr>
      <w:r w:rsidRPr="004508E3">
        <w:rPr>
          <w:rFonts w:ascii="Times New Roman" w:hAnsi="Times New Roman" w:cs="Times New Roman"/>
          <w:sz w:val="24"/>
          <w:szCs w:val="24"/>
          <w:shd w:val="clear" w:color="auto" w:fill="FFFFFF"/>
        </w:rPr>
        <w:t xml:space="preserve">Dainty, K. N., Golden, B. R., Hannam, R., Webster, F., Browne, G., Mittmann, N., ... &amp; </w:t>
      </w:r>
    </w:p>
    <w:p w:rsidR="00EA6EC2" w:rsidRPr="004508E3" w:rsidRDefault="00EA6EC2" w:rsidP="007E78EA">
      <w:pPr>
        <w:spacing w:line="480" w:lineRule="auto"/>
        <w:rPr>
          <w:rFonts w:ascii="Times New Roman" w:hAnsi="Times New Roman" w:cs="Times New Roman"/>
          <w:sz w:val="24"/>
          <w:szCs w:val="24"/>
          <w:shd w:val="clear" w:color="auto" w:fill="FFFFFF"/>
        </w:rPr>
      </w:pPr>
      <w:r w:rsidRPr="004508E3">
        <w:rPr>
          <w:rFonts w:ascii="Times New Roman" w:hAnsi="Times New Roman" w:cs="Times New Roman"/>
          <w:sz w:val="24"/>
          <w:szCs w:val="24"/>
          <w:shd w:val="clear" w:color="auto" w:fill="FFFFFF"/>
        </w:rPr>
        <w:tab/>
        <w:t xml:space="preserve">Zwarenstein, M. (2018). A realist evaluation of value-based care delivery in home </w:t>
      </w:r>
    </w:p>
    <w:p w:rsidR="00EA6EC2" w:rsidRPr="004508E3" w:rsidRDefault="00EA6EC2" w:rsidP="007E78EA">
      <w:pPr>
        <w:spacing w:line="480" w:lineRule="auto"/>
        <w:rPr>
          <w:rFonts w:ascii="Times New Roman" w:hAnsi="Times New Roman" w:cs="Times New Roman"/>
          <w:iCs/>
          <w:sz w:val="24"/>
          <w:szCs w:val="24"/>
          <w:shd w:val="clear" w:color="auto" w:fill="FFFFFF"/>
        </w:rPr>
      </w:pPr>
      <w:r w:rsidRPr="004508E3">
        <w:rPr>
          <w:rFonts w:ascii="Times New Roman" w:hAnsi="Times New Roman" w:cs="Times New Roman"/>
          <w:sz w:val="24"/>
          <w:szCs w:val="24"/>
          <w:shd w:val="clear" w:color="auto" w:fill="FFFFFF"/>
        </w:rPr>
        <w:tab/>
        <w:t>care: the influence of actors, autonomy and accountability. </w:t>
      </w:r>
      <w:r w:rsidRPr="004508E3">
        <w:rPr>
          <w:rFonts w:ascii="Times New Roman" w:hAnsi="Times New Roman" w:cs="Times New Roman"/>
          <w:iCs/>
          <w:sz w:val="24"/>
          <w:szCs w:val="24"/>
          <w:shd w:val="clear" w:color="auto" w:fill="FFFFFF"/>
        </w:rPr>
        <w:t xml:space="preserve">Social Science &amp; </w:t>
      </w:r>
    </w:p>
    <w:p w:rsidR="00EA6EC2" w:rsidRPr="004508E3" w:rsidRDefault="00EA6EC2" w:rsidP="007E78EA">
      <w:pPr>
        <w:spacing w:line="480" w:lineRule="auto"/>
        <w:rPr>
          <w:rFonts w:ascii="Times New Roman" w:hAnsi="Times New Roman" w:cs="Times New Roman"/>
          <w:sz w:val="24"/>
          <w:szCs w:val="24"/>
          <w:shd w:val="clear" w:color="auto" w:fill="FFFFFF"/>
        </w:rPr>
      </w:pPr>
      <w:r w:rsidRPr="004508E3">
        <w:rPr>
          <w:rFonts w:ascii="Times New Roman" w:hAnsi="Times New Roman" w:cs="Times New Roman"/>
          <w:iCs/>
          <w:sz w:val="24"/>
          <w:szCs w:val="24"/>
          <w:shd w:val="clear" w:color="auto" w:fill="FFFFFF"/>
        </w:rPr>
        <w:tab/>
        <w:t>Medicine</w:t>
      </w:r>
      <w:r w:rsidRPr="004508E3">
        <w:rPr>
          <w:rFonts w:ascii="Times New Roman" w:hAnsi="Times New Roman" w:cs="Times New Roman"/>
          <w:sz w:val="24"/>
          <w:szCs w:val="24"/>
          <w:shd w:val="clear" w:color="auto" w:fill="FFFFFF"/>
        </w:rPr>
        <w:t>, </w:t>
      </w:r>
      <w:r w:rsidRPr="004508E3">
        <w:rPr>
          <w:rFonts w:ascii="Times New Roman" w:hAnsi="Times New Roman" w:cs="Times New Roman"/>
          <w:iCs/>
          <w:sz w:val="24"/>
          <w:szCs w:val="24"/>
          <w:shd w:val="clear" w:color="auto" w:fill="FFFFFF"/>
        </w:rPr>
        <w:t>206</w:t>
      </w:r>
      <w:r w:rsidRPr="004508E3">
        <w:rPr>
          <w:rFonts w:ascii="Times New Roman" w:hAnsi="Times New Roman" w:cs="Times New Roman"/>
          <w:sz w:val="24"/>
          <w:szCs w:val="24"/>
          <w:shd w:val="clear" w:color="auto" w:fill="FFFFFF"/>
        </w:rPr>
        <w:t>, 100-109.</w:t>
      </w:r>
    </w:p>
    <w:p w:rsidR="00EA6EC2" w:rsidRPr="004508E3" w:rsidRDefault="00EA6EC2" w:rsidP="007E78EA">
      <w:pPr>
        <w:spacing w:line="480" w:lineRule="auto"/>
        <w:rPr>
          <w:rFonts w:ascii="Times New Roman" w:hAnsi="Times New Roman" w:cs="Times New Roman"/>
          <w:sz w:val="24"/>
          <w:szCs w:val="24"/>
          <w:shd w:val="clear" w:color="auto" w:fill="FFFFFF"/>
        </w:rPr>
      </w:pPr>
      <w:r w:rsidRPr="004508E3">
        <w:rPr>
          <w:rFonts w:ascii="Times New Roman" w:hAnsi="Times New Roman" w:cs="Times New Roman"/>
          <w:sz w:val="24"/>
          <w:szCs w:val="24"/>
          <w:shd w:val="clear" w:color="auto" w:fill="FFFFFF"/>
        </w:rPr>
        <w:t xml:space="preserve">Giles, G. M., Edwards, D. F., Morrison, M. T., Baum, C., &amp; Wolf, T. J. (2017). Screening for </w:t>
      </w:r>
    </w:p>
    <w:p w:rsidR="00EA6EC2" w:rsidRPr="004508E3" w:rsidRDefault="00EA6EC2" w:rsidP="007E78EA">
      <w:pPr>
        <w:spacing w:line="480" w:lineRule="auto"/>
        <w:rPr>
          <w:rFonts w:ascii="Times New Roman" w:hAnsi="Times New Roman" w:cs="Times New Roman"/>
          <w:sz w:val="24"/>
          <w:szCs w:val="24"/>
          <w:shd w:val="clear" w:color="auto" w:fill="FFFFFF"/>
        </w:rPr>
      </w:pPr>
      <w:r w:rsidRPr="004508E3">
        <w:rPr>
          <w:rFonts w:ascii="Times New Roman" w:hAnsi="Times New Roman" w:cs="Times New Roman"/>
          <w:sz w:val="24"/>
          <w:szCs w:val="24"/>
          <w:shd w:val="clear" w:color="auto" w:fill="FFFFFF"/>
        </w:rPr>
        <w:tab/>
        <w:t>functional cognition in postacute care and the Improving Medicare Post-Acute Care</w:t>
      </w:r>
    </w:p>
    <w:p w:rsidR="00EA6EC2" w:rsidRPr="004508E3" w:rsidRDefault="00EA6EC2" w:rsidP="007E78EA">
      <w:pPr>
        <w:spacing w:line="480" w:lineRule="auto"/>
        <w:ind w:firstLine="720"/>
        <w:rPr>
          <w:rFonts w:ascii="Times New Roman" w:hAnsi="Times New Roman" w:cs="Times New Roman"/>
          <w:iCs/>
          <w:sz w:val="24"/>
          <w:szCs w:val="24"/>
          <w:shd w:val="clear" w:color="auto" w:fill="FFFFFF"/>
        </w:rPr>
      </w:pPr>
      <w:r w:rsidRPr="004508E3">
        <w:rPr>
          <w:rFonts w:ascii="Times New Roman" w:hAnsi="Times New Roman" w:cs="Times New Roman"/>
          <w:sz w:val="24"/>
          <w:szCs w:val="24"/>
          <w:shd w:val="clear" w:color="auto" w:fill="FFFFFF"/>
        </w:rPr>
        <w:t xml:space="preserve"> Transformation (IMPACT) Act of 2014. </w:t>
      </w:r>
      <w:r w:rsidRPr="004508E3">
        <w:rPr>
          <w:rFonts w:ascii="Times New Roman" w:hAnsi="Times New Roman" w:cs="Times New Roman"/>
          <w:iCs/>
          <w:sz w:val="24"/>
          <w:szCs w:val="24"/>
          <w:shd w:val="clear" w:color="auto" w:fill="FFFFFF"/>
        </w:rPr>
        <w:t xml:space="preserve">American Journal of Occupational </w:t>
      </w:r>
    </w:p>
    <w:p w:rsidR="00EA6EC2" w:rsidRPr="004508E3" w:rsidRDefault="00EA6EC2" w:rsidP="007E78EA">
      <w:pPr>
        <w:spacing w:line="480" w:lineRule="auto"/>
        <w:ind w:firstLine="720"/>
        <w:rPr>
          <w:rFonts w:ascii="Times New Roman" w:hAnsi="Times New Roman" w:cs="Times New Roman"/>
          <w:sz w:val="24"/>
          <w:szCs w:val="24"/>
          <w:shd w:val="clear" w:color="auto" w:fill="FFFFFF"/>
        </w:rPr>
      </w:pPr>
      <w:r w:rsidRPr="004508E3">
        <w:rPr>
          <w:rFonts w:ascii="Times New Roman" w:hAnsi="Times New Roman" w:cs="Times New Roman"/>
          <w:iCs/>
          <w:sz w:val="24"/>
          <w:szCs w:val="24"/>
          <w:shd w:val="clear" w:color="auto" w:fill="FFFFFF"/>
        </w:rPr>
        <w:t>Therapy</w:t>
      </w:r>
      <w:r w:rsidRPr="004508E3">
        <w:rPr>
          <w:rFonts w:ascii="Times New Roman" w:hAnsi="Times New Roman" w:cs="Times New Roman"/>
          <w:sz w:val="24"/>
          <w:szCs w:val="24"/>
          <w:shd w:val="clear" w:color="auto" w:fill="FFFFFF"/>
        </w:rPr>
        <w:t>, </w:t>
      </w:r>
      <w:r w:rsidRPr="004508E3">
        <w:rPr>
          <w:rFonts w:ascii="Times New Roman" w:hAnsi="Times New Roman" w:cs="Times New Roman"/>
          <w:iCs/>
          <w:sz w:val="24"/>
          <w:szCs w:val="24"/>
          <w:shd w:val="clear" w:color="auto" w:fill="FFFFFF"/>
        </w:rPr>
        <w:t>71</w:t>
      </w:r>
      <w:r w:rsidRPr="004508E3">
        <w:rPr>
          <w:rFonts w:ascii="Times New Roman" w:hAnsi="Times New Roman" w:cs="Times New Roman"/>
          <w:sz w:val="24"/>
          <w:szCs w:val="24"/>
          <w:shd w:val="clear" w:color="auto" w:fill="FFFFFF"/>
        </w:rPr>
        <w:t>(5), 7105090010p1-7105090010p6.</w:t>
      </w:r>
    </w:p>
    <w:p w:rsidR="00EA6EC2" w:rsidRPr="004508E3" w:rsidRDefault="00EA6EC2" w:rsidP="007E78EA">
      <w:pPr>
        <w:spacing w:line="480" w:lineRule="auto"/>
        <w:rPr>
          <w:rFonts w:ascii="Times New Roman" w:hAnsi="Times New Roman" w:cs="Times New Roman"/>
          <w:sz w:val="24"/>
          <w:szCs w:val="24"/>
          <w:shd w:val="clear" w:color="auto" w:fill="FFFFFF"/>
        </w:rPr>
      </w:pPr>
      <w:r w:rsidRPr="004508E3">
        <w:rPr>
          <w:rFonts w:ascii="Times New Roman" w:hAnsi="Times New Roman" w:cs="Times New Roman"/>
          <w:sz w:val="24"/>
          <w:szCs w:val="24"/>
          <w:shd w:val="clear" w:color="auto" w:fill="FFFFFF"/>
        </w:rPr>
        <w:t xml:space="preserve">Hill, T. E. (2018). A Geriatrician’s Guide to Accountable Care Implementation: Thickets and </w:t>
      </w:r>
    </w:p>
    <w:p w:rsidR="00EA6EC2" w:rsidRPr="004508E3" w:rsidRDefault="00EA6EC2" w:rsidP="007E78EA">
      <w:pPr>
        <w:spacing w:line="480" w:lineRule="auto"/>
        <w:rPr>
          <w:rFonts w:ascii="Times New Roman" w:hAnsi="Times New Roman" w:cs="Times New Roman"/>
          <w:b/>
          <w:sz w:val="24"/>
          <w:szCs w:val="24"/>
        </w:rPr>
      </w:pPr>
      <w:r w:rsidRPr="004508E3">
        <w:rPr>
          <w:rFonts w:ascii="Times New Roman" w:hAnsi="Times New Roman" w:cs="Times New Roman"/>
          <w:sz w:val="24"/>
          <w:szCs w:val="24"/>
          <w:shd w:val="clear" w:color="auto" w:fill="FFFFFF"/>
        </w:rPr>
        <w:tab/>
        <w:t>Pathways. </w:t>
      </w:r>
      <w:r w:rsidRPr="004508E3">
        <w:rPr>
          <w:rFonts w:ascii="Times New Roman" w:hAnsi="Times New Roman" w:cs="Times New Roman"/>
          <w:iCs/>
          <w:sz w:val="24"/>
          <w:szCs w:val="24"/>
          <w:shd w:val="clear" w:color="auto" w:fill="FFFFFF"/>
        </w:rPr>
        <w:t>Primary Care for Older Adults</w:t>
      </w:r>
      <w:r w:rsidRPr="004508E3">
        <w:rPr>
          <w:rFonts w:ascii="Times New Roman" w:hAnsi="Times New Roman" w:cs="Times New Roman"/>
          <w:sz w:val="24"/>
          <w:szCs w:val="24"/>
          <w:shd w:val="clear" w:color="auto" w:fill="FFFFFF"/>
        </w:rPr>
        <w:t>, 35-90.</w:t>
      </w:r>
    </w:p>
    <w:sectPr w:rsidR="00EA6EC2" w:rsidRPr="004508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861"/>
    <w:rsid w:val="000F2A8F"/>
    <w:rsid w:val="001743D5"/>
    <w:rsid w:val="00300861"/>
    <w:rsid w:val="004508E3"/>
    <w:rsid w:val="005C512F"/>
    <w:rsid w:val="00621943"/>
    <w:rsid w:val="007E78EA"/>
    <w:rsid w:val="00964018"/>
    <w:rsid w:val="00C408AF"/>
    <w:rsid w:val="00CF080B"/>
    <w:rsid w:val="00DC01A1"/>
    <w:rsid w:val="00EA6EC2"/>
    <w:rsid w:val="00F055D7"/>
    <w:rsid w:val="00F95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0E5D01-18BA-4F13-B489-CB5C9D62C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Prince</cp:lastModifiedBy>
  <cp:revision>2</cp:revision>
  <dcterms:created xsi:type="dcterms:W3CDTF">2021-05-11T14:27:00Z</dcterms:created>
  <dcterms:modified xsi:type="dcterms:W3CDTF">2021-05-11T14:27:00Z</dcterms:modified>
</cp:coreProperties>
</file>