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F5C" w:rsidRDefault="00712F5C" w:rsidP="00094342">
      <w:pPr>
        <w:spacing w:line="480" w:lineRule="auto"/>
        <w:jc w:val="center"/>
        <w:rPr>
          <w:b/>
        </w:rPr>
      </w:pPr>
    </w:p>
    <w:p w:rsidR="00712F5C" w:rsidRDefault="00712F5C" w:rsidP="00094342">
      <w:pPr>
        <w:spacing w:line="480" w:lineRule="auto"/>
        <w:jc w:val="center"/>
        <w:rPr>
          <w:b/>
        </w:rPr>
      </w:pPr>
    </w:p>
    <w:p w:rsidR="00712F5C" w:rsidRDefault="00712F5C" w:rsidP="00094342">
      <w:pPr>
        <w:spacing w:line="480" w:lineRule="auto"/>
        <w:jc w:val="center"/>
        <w:rPr>
          <w:b/>
        </w:rPr>
      </w:pPr>
    </w:p>
    <w:p w:rsidR="00712F5C" w:rsidRDefault="00712F5C" w:rsidP="00094342">
      <w:pPr>
        <w:spacing w:line="480" w:lineRule="auto"/>
        <w:jc w:val="center"/>
        <w:rPr>
          <w:b/>
        </w:rPr>
      </w:pPr>
    </w:p>
    <w:p w:rsidR="00DE6BAC" w:rsidRDefault="00487304" w:rsidP="00094342">
      <w:pPr>
        <w:spacing w:line="480" w:lineRule="auto"/>
        <w:jc w:val="center"/>
        <w:rPr>
          <w:b/>
        </w:rPr>
      </w:pPr>
      <w:r>
        <w:rPr>
          <w:b/>
        </w:rPr>
        <w:t>Finance</w:t>
      </w:r>
    </w:p>
    <w:p w:rsidR="00094342" w:rsidRDefault="00094342" w:rsidP="00094342">
      <w:pPr>
        <w:spacing w:line="480" w:lineRule="auto"/>
        <w:jc w:val="center"/>
        <w:rPr>
          <w:b/>
        </w:rPr>
      </w:pPr>
    </w:p>
    <w:p w:rsidR="00D06DAA" w:rsidRDefault="00D06DAA" w:rsidP="00094342">
      <w:pPr>
        <w:spacing w:line="480" w:lineRule="auto"/>
        <w:jc w:val="center"/>
      </w:pPr>
      <w:r>
        <w:t>Student’s Name(s)</w:t>
      </w:r>
    </w:p>
    <w:p w:rsidR="00D06DAA" w:rsidRDefault="00D06DAA" w:rsidP="00094342">
      <w:pPr>
        <w:spacing w:line="480" w:lineRule="auto"/>
        <w:jc w:val="center"/>
      </w:pPr>
      <w:r>
        <w:t>Institutional Affiliation(s)</w:t>
      </w:r>
    </w:p>
    <w:p w:rsidR="00D06DAA" w:rsidRDefault="00D06DAA" w:rsidP="00094342">
      <w:pPr>
        <w:spacing w:line="480" w:lineRule="auto"/>
        <w:jc w:val="center"/>
      </w:pPr>
      <w:r>
        <w:t>Course Details</w:t>
      </w:r>
    </w:p>
    <w:p w:rsidR="00D06DAA" w:rsidRDefault="00D06DAA" w:rsidP="00094342">
      <w:pPr>
        <w:spacing w:line="480" w:lineRule="auto"/>
        <w:jc w:val="center"/>
      </w:pPr>
      <w:r>
        <w:t>Instructor’s Name(s)</w:t>
      </w:r>
    </w:p>
    <w:p w:rsidR="00D06DAA" w:rsidRPr="00D06DAA" w:rsidRDefault="00D06DAA" w:rsidP="00094342">
      <w:pPr>
        <w:spacing w:line="480" w:lineRule="auto"/>
        <w:jc w:val="center"/>
      </w:pPr>
      <w:r>
        <w:t>Date</w:t>
      </w:r>
    </w:p>
    <w:p w:rsidR="00712F5C" w:rsidRDefault="00712F5C" w:rsidP="00094342">
      <w:pPr>
        <w:spacing w:line="480" w:lineRule="auto"/>
        <w:jc w:val="center"/>
        <w:rPr>
          <w:b/>
        </w:rPr>
      </w:pPr>
    </w:p>
    <w:p w:rsidR="00712F5C" w:rsidRDefault="00712F5C" w:rsidP="00094342">
      <w:pPr>
        <w:spacing w:line="480" w:lineRule="auto"/>
        <w:jc w:val="center"/>
        <w:rPr>
          <w:b/>
        </w:rPr>
      </w:pPr>
    </w:p>
    <w:p w:rsidR="00712F5C" w:rsidRDefault="00712F5C" w:rsidP="00094342">
      <w:pPr>
        <w:spacing w:line="480" w:lineRule="auto"/>
        <w:jc w:val="center"/>
        <w:rPr>
          <w:b/>
        </w:rPr>
      </w:pPr>
    </w:p>
    <w:p w:rsidR="00712F5C" w:rsidRDefault="00712F5C" w:rsidP="00094342">
      <w:pPr>
        <w:spacing w:line="480" w:lineRule="auto"/>
        <w:jc w:val="center"/>
        <w:rPr>
          <w:b/>
        </w:rPr>
      </w:pPr>
    </w:p>
    <w:p w:rsidR="00712F5C" w:rsidRDefault="00712F5C" w:rsidP="00094342">
      <w:pPr>
        <w:spacing w:line="480" w:lineRule="auto"/>
        <w:jc w:val="center"/>
        <w:rPr>
          <w:b/>
        </w:rPr>
      </w:pPr>
    </w:p>
    <w:p w:rsidR="00712F5C" w:rsidRDefault="00712F5C" w:rsidP="00094342">
      <w:pPr>
        <w:spacing w:line="480" w:lineRule="auto"/>
        <w:jc w:val="center"/>
        <w:rPr>
          <w:b/>
        </w:rPr>
      </w:pPr>
    </w:p>
    <w:p w:rsidR="00712F5C" w:rsidRDefault="00712F5C" w:rsidP="00094342">
      <w:pPr>
        <w:spacing w:line="480" w:lineRule="auto"/>
        <w:jc w:val="center"/>
        <w:rPr>
          <w:b/>
        </w:rPr>
      </w:pPr>
    </w:p>
    <w:p w:rsidR="00712F5C" w:rsidRDefault="00712F5C" w:rsidP="00094342">
      <w:pPr>
        <w:spacing w:line="480" w:lineRule="auto"/>
        <w:jc w:val="center"/>
        <w:rPr>
          <w:b/>
        </w:rPr>
      </w:pPr>
    </w:p>
    <w:p w:rsidR="00712F5C" w:rsidRDefault="00712F5C" w:rsidP="00094342">
      <w:pPr>
        <w:spacing w:line="480" w:lineRule="auto"/>
        <w:jc w:val="center"/>
        <w:rPr>
          <w:b/>
        </w:rPr>
      </w:pPr>
    </w:p>
    <w:p w:rsidR="00712F5C" w:rsidRDefault="00712F5C" w:rsidP="00094342">
      <w:pPr>
        <w:spacing w:line="480" w:lineRule="auto"/>
        <w:jc w:val="center"/>
        <w:rPr>
          <w:b/>
        </w:rPr>
      </w:pPr>
    </w:p>
    <w:p w:rsidR="00712F5C" w:rsidRDefault="00712F5C" w:rsidP="00094342">
      <w:pPr>
        <w:spacing w:line="480" w:lineRule="auto"/>
        <w:jc w:val="center"/>
        <w:rPr>
          <w:b/>
        </w:rPr>
      </w:pPr>
    </w:p>
    <w:p w:rsidR="00712F5C" w:rsidRDefault="00712F5C" w:rsidP="00094342">
      <w:pPr>
        <w:spacing w:line="480" w:lineRule="auto"/>
        <w:jc w:val="center"/>
        <w:rPr>
          <w:b/>
        </w:rPr>
      </w:pPr>
    </w:p>
    <w:p w:rsidR="00712F5C" w:rsidRDefault="00712F5C" w:rsidP="00094342">
      <w:pPr>
        <w:spacing w:line="480" w:lineRule="auto"/>
        <w:jc w:val="center"/>
        <w:rPr>
          <w:b/>
        </w:rPr>
      </w:pPr>
    </w:p>
    <w:p w:rsidR="00712F5C" w:rsidRDefault="00712F5C" w:rsidP="00094342">
      <w:pPr>
        <w:spacing w:line="480" w:lineRule="auto"/>
        <w:jc w:val="center"/>
        <w:rPr>
          <w:b/>
        </w:rPr>
      </w:pPr>
    </w:p>
    <w:p w:rsidR="00D06DAA" w:rsidRDefault="00D06DAA" w:rsidP="00094342">
      <w:pPr>
        <w:spacing w:line="480" w:lineRule="auto"/>
        <w:jc w:val="center"/>
        <w:rPr>
          <w:b/>
        </w:rPr>
      </w:pPr>
      <w:r>
        <w:rPr>
          <w:b/>
        </w:rPr>
        <w:lastRenderedPageBreak/>
        <w:t>Finance</w:t>
      </w:r>
    </w:p>
    <w:p w:rsidR="00487304" w:rsidRDefault="001E0092" w:rsidP="00FA42A5">
      <w:pPr>
        <w:spacing w:line="480" w:lineRule="auto"/>
        <w:jc w:val="center"/>
        <w:rPr>
          <w:b/>
        </w:rPr>
      </w:pPr>
      <w:r w:rsidRPr="008276A4">
        <w:rPr>
          <w:b/>
        </w:rPr>
        <w:t xml:space="preserve">The Monetary Policy During </w:t>
      </w:r>
      <w:r w:rsidR="008276A4" w:rsidRPr="008276A4">
        <w:rPr>
          <w:b/>
        </w:rPr>
        <w:t>Inflationary Vs. Recessionary Times</w:t>
      </w:r>
    </w:p>
    <w:p w:rsidR="00E663E4" w:rsidRDefault="00631B54" w:rsidP="00487304">
      <w:pPr>
        <w:spacing w:line="480" w:lineRule="auto"/>
      </w:pPr>
      <w:r>
        <w:tab/>
      </w:r>
      <w:r w:rsidR="00BF2CCB">
        <w:t xml:space="preserve">Monetary policy refers to the strategies by the </w:t>
      </w:r>
      <w:r w:rsidR="00E90ED0">
        <w:t>Federal Reserve</w:t>
      </w:r>
      <w:r w:rsidR="00BF2CCB">
        <w:t xml:space="preserve"> </w:t>
      </w:r>
      <w:r w:rsidR="00D00105">
        <w:t>and the central bank to influence the credit and the amount of money within the economy.</w:t>
      </w:r>
      <w:r w:rsidR="00E90ED0">
        <w:t xml:space="preserve"> By implementing </w:t>
      </w:r>
      <w:r w:rsidR="00625473">
        <w:t xml:space="preserve">a </w:t>
      </w:r>
      <w:r w:rsidR="00E90ED0">
        <w:t xml:space="preserve">salient monetary </w:t>
      </w:r>
      <w:r w:rsidR="00B752D0">
        <w:t>policy,</w:t>
      </w:r>
      <w:r w:rsidR="00E90ED0">
        <w:t xml:space="preserve"> </w:t>
      </w:r>
      <w:r w:rsidR="00AC0277">
        <w:t>the econom</w:t>
      </w:r>
      <w:r w:rsidR="00625473">
        <w:t>ic</w:t>
      </w:r>
      <w:r w:rsidR="00AC0277">
        <w:t xml:space="preserve"> players maintain </w:t>
      </w:r>
      <w:r w:rsidR="009B3577">
        <w:t>stable prices</w:t>
      </w:r>
      <w:r w:rsidR="00B752D0">
        <w:t xml:space="preserve"> to support the long-term growth and optimal </w:t>
      </w:r>
      <w:r w:rsidR="00170401">
        <w:t>employment</w:t>
      </w:r>
      <w:r w:rsidR="0019199A">
        <w:t xml:space="preserve"> </w:t>
      </w:r>
      <w:r w:rsidR="0019199A" w:rsidRPr="0019199A">
        <w:t>(Federal Reserve Education, n.d.)</w:t>
      </w:r>
      <w:r w:rsidR="00D24304">
        <w:t xml:space="preserve">. </w:t>
      </w:r>
      <w:r w:rsidR="004C133D">
        <w:t>Primarily, the monetary policy promotes maximum employment, moderates the long-term interest rates</w:t>
      </w:r>
      <w:r w:rsidR="00625473">
        <w:t>,</w:t>
      </w:r>
      <w:r w:rsidR="004C133D">
        <w:t xml:space="preserve"> and stabilizes the prices</w:t>
      </w:r>
      <w:r w:rsidR="0019199A">
        <w:t xml:space="preserve"> </w:t>
      </w:r>
      <w:r w:rsidR="0019199A" w:rsidRPr="0019199A">
        <w:t>(Federal Reserve Education, n.d.)</w:t>
      </w:r>
      <w:r w:rsidR="00251031">
        <w:t xml:space="preserve">. </w:t>
      </w:r>
      <w:r w:rsidR="00FE0645">
        <w:t xml:space="preserve">Discount rate, </w:t>
      </w:r>
      <w:r w:rsidR="00DC158C">
        <w:t>reserve requirements</w:t>
      </w:r>
      <w:r w:rsidR="00625473">
        <w:t>,</w:t>
      </w:r>
      <w:r w:rsidR="00DC158C">
        <w:t xml:space="preserve"> and </w:t>
      </w:r>
      <w:r w:rsidR="003B110C">
        <w:t xml:space="preserve">OMO (open market operations) are the </w:t>
      </w:r>
      <w:r w:rsidR="00625473">
        <w:t>essential</w:t>
      </w:r>
      <w:r w:rsidR="003B110C">
        <w:t xml:space="preserve"> </w:t>
      </w:r>
      <w:r w:rsidR="00F64F79">
        <w:t>Federal Reserve</w:t>
      </w:r>
      <w:r w:rsidR="00B610F1">
        <w:t xml:space="preserve"> </w:t>
      </w:r>
      <w:r w:rsidR="00625473">
        <w:t>monetary policy tools</w:t>
      </w:r>
      <w:r w:rsidR="008874CD">
        <w:t>.</w:t>
      </w:r>
    </w:p>
    <w:p w:rsidR="00C71F5E" w:rsidRDefault="00E663E4" w:rsidP="00487304">
      <w:pPr>
        <w:spacing w:line="480" w:lineRule="auto"/>
      </w:pPr>
      <w:r>
        <w:tab/>
      </w:r>
      <w:r w:rsidR="002B124C">
        <w:t>The monetary policy play</w:t>
      </w:r>
      <w:r w:rsidR="00625473">
        <w:t>s an expansionary role during the recessionary times by expanding the output or employment as a strategic approach to increase the money supply, resulting in</w:t>
      </w:r>
      <w:r w:rsidR="00C216AE">
        <w:t xml:space="preserve"> </w:t>
      </w:r>
      <w:r w:rsidR="00625473">
        <w:t xml:space="preserve">a </w:t>
      </w:r>
      <w:r w:rsidR="00C216AE">
        <w:t>price increase</w:t>
      </w:r>
      <w:r w:rsidR="00F20DDC">
        <w:t xml:space="preserve"> </w:t>
      </w:r>
      <w:r w:rsidR="00F20DDC" w:rsidRPr="00F20DDC">
        <w:t>(Mathai, 2020)</w:t>
      </w:r>
      <w:r w:rsidR="00C216AE">
        <w:t xml:space="preserve">. </w:t>
      </w:r>
      <w:r w:rsidR="00D47EA4">
        <w:t>During a recession, consumer reduce</w:t>
      </w:r>
      <w:r w:rsidR="00625473">
        <w:t>s</w:t>
      </w:r>
      <w:r w:rsidR="00D47EA4">
        <w:t xml:space="preserve"> their spending</w:t>
      </w:r>
      <w:r w:rsidR="00625473">
        <w:t>,</w:t>
      </w:r>
      <w:r w:rsidR="00D47EA4">
        <w:t xml:space="preserve"> and the produc</w:t>
      </w:r>
      <w:r w:rsidR="00D65875">
        <w:t xml:space="preserve">tion goes down meaning job loss, </w:t>
      </w:r>
      <w:r w:rsidR="00625473">
        <w:t xml:space="preserve">the </w:t>
      </w:r>
      <w:r w:rsidR="00D65875">
        <w:t>decline in the aggregate demand and stoppage of investment</w:t>
      </w:r>
      <w:r w:rsidR="00F20DDC">
        <w:t xml:space="preserve"> </w:t>
      </w:r>
      <w:r w:rsidR="00F20DDC" w:rsidRPr="00F20DDC">
        <w:t>(Mathai, 2020)</w:t>
      </w:r>
      <w:r w:rsidR="00D65875">
        <w:t xml:space="preserve">. </w:t>
      </w:r>
      <w:r w:rsidR="00C908DB">
        <w:t xml:space="preserve">As a result, the expansionary </w:t>
      </w:r>
      <w:r w:rsidR="00C2584F">
        <w:t xml:space="preserve">monetary policy </w:t>
      </w:r>
      <w:r w:rsidR="00750EBC">
        <w:t xml:space="preserve">help </w:t>
      </w:r>
      <w:r w:rsidR="007A37E6">
        <w:t xml:space="preserve">drive the economy closer to its capacity </w:t>
      </w:r>
      <w:r w:rsidR="00E12FEA">
        <w:t xml:space="preserve">by increasing the output </w:t>
      </w:r>
      <w:r w:rsidR="001D21E8">
        <w:t xml:space="preserve">and demand </w:t>
      </w:r>
      <w:r w:rsidR="00876F3F">
        <w:t>while raising the consumer</w:t>
      </w:r>
      <w:r w:rsidR="00625473">
        <w:t>'</w:t>
      </w:r>
      <w:r w:rsidR="00876F3F">
        <w:t xml:space="preserve">s income </w:t>
      </w:r>
      <w:r w:rsidR="004C4C62">
        <w:t xml:space="preserve">to buy more. </w:t>
      </w:r>
      <w:r w:rsidR="00380519">
        <w:t xml:space="preserve">The expansionary measures for the </w:t>
      </w:r>
      <w:r w:rsidR="00390CD6">
        <w:t xml:space="preserve">Federal Reserve </w:t>
      </w:r>
      <w:r w:rsidR="007D0821">
        <w:t xml:space="preserve">to curb the impacts of recession include </w:t>
      </w:r>
      <w:r w:rsidR="00BF3460">
        <w:t xml:space="preserve">buying bonds </w:t>
      </w:r>
      <w:r w:rsidR="00B8336B">
        <w:t xml:space="preserve">to increase the supply of money while increasing the prices for money and </w:t>
      </w:r>
      <w:r w:rsidR="00AD47AD">
        <w:t>reducing</w:t>
      </w:r>
      <w:r w:rsidR="00B8336B">
        <w:t xml:space="preserve"> the</w:t>
      </w:r>
      <w:r w:rsidR="00AD47AD">
        <w:t xml:space="preserve"> interest rates. </w:t>
      </w:r>
      <w:r w:rsidR="00C92991">
        <w:t xml:space="preserve">Lower interest rates would stimulate </w:t>
      </w:r>
      <w:r w:rsidR="003959BA">
        <w:t>investment, increasing the supply of dollar</w:t>
      </w:r>
      <w:r w:rsidR="00625473">
        <w:t>s</w:t>
      </w:r>
      <w:r w:rsidR="004F4A31">
        <w:t xml:space="preserve"> </w:t>
      </w:r>
      <w:r w:rsidR="004F4A31" w:rsidRPr="001E5BB0">
        <w:t>(Rittenberg &amp; Tregarthen, 2012</w:t>
      </w:r>
      <w:r w:rsidR="004F4A31">
        <w:t>)</w:t>
      </w:r>
      <w:r w:rsidR="00EF5688">
        <w:t xml:space="preserve">. </w:t>
      </w:r>
      <w:r w:rsidR="00921895">
        <w:t xml:space="preserve">The </w:t>
      </w:r>
      <w:r w:rsidR="00524237">
        <w:t xml:space="preserve">Federal Reserve </w:t>
      </w:r>
      <w:r w:rsidR="00BD456F">
        <w:t xml:space="preserve">lowers </w:t>
      </w:r>
      <w:r w:rsidR="00E77DDE">
        <w:t xml:space="preserve">the minimum reserve requirements to encourage lending institutions to lend more for </w:t>
      </w:r>
      <w:r w:rsidR="00625473">
        <w:t xml:space="preserve">a </w:t>
      </w:r>
      <w:r w:rsidR="00E77DDE">
        <w:t xml:space="preserve">constant </w:t>
      </w:r>
      <w:r w:rsidR="00625473">
        <w:t>money flow</w:t>
      </w:r>
      <w:r w:rsidR="00E77DDE">
        <w:t xml:space="preserve"> in the economy. </w:t>
      </w:r>
    </w:p>
    <w:p w:rsidR="00E93F7A" w:rsidRDefault="00C71F5E" w:rsidP="00487304">
      <w:pPr>
        <w:spacing w:line="480" w:lineRule="auto"/>
      </w:pPr>
      <w:r>
        <w:tab/>
      </w:r>
      <w:r w:rsidR="00AB2AA1">
        <w:t>On the other hand, during inflation</w:t>
      </w:r>
      <w:r w:rsidR="00625473">
        <w:t>,</w:t>
      </w:r>
      <w:r w:rsidR="00AB2AA1">
        <w:t xml:space="preserve"> </w:t>
      </w:r>
      <w:r w:rsidR="00335596">
        <w:t xml:space="preserve">the Federal Reserve establishes the </w:t>
      </w:r>
      <w:r w:rsidR="005E7A71">
        <w:t xml:space="preserve">restrictive </w:t>
      </w:r>
      <w:r w:rsidR="003A176B">
        <w:t xml:space="preserve">monetary policy </w:t>
      </w:r>
      <w:r w:rsidR="00AB2A26">
        <w:t>to l</w:t>
      </w:r>
      <w:r w:rsidR="00B16EE0">
        <w:t>ower the general level of prices and decline the rapid increase of money in the economy</w:t>
      </w:r>
      <w:r w:rsidR="001E5BB0" w:rsidRPr="001E5BB0">
        <w:t xml:space="preserve"> (Rittenberg &amp; Tregarthen, 2012</w:t>
      </w:r>
      <w:r w:rsidR="001E5BB0">
        <w:t>)</w:t>
      </w:r>
      <w:r w:rsidR="00B16EE0">
        <w:t xml:space="preserve">. </w:t>
      </w:r>
      <w:r w:rsidR="00B14134">
        <w:t xml:space="preserve">The restrictive measures by the </w:t>
      </w:r>
      <w:r w:rsidR="009B424E">
        <w:t xml:space="preserve">Federal Reserve </w:t>
      </w:r>
      <w:r w:rsidR="003D18E0">
        <w:t xml:space="preserve">to curb inflation includes selling bonds at </w:t>
      </w:r>
      <w:r w:rsidR="000D4067">
        <w:t xml:space="preserve">lower prices, which is equivalent to higher </w:t>
      </w:r>
      <w:r w:rsidR="000D4067">
        <w:lastRenderedPageBreak/>
        <w:t xml:space="preserve">interest rates </w:t>
      </w:r>
      <w:r w:rsidR="00E620AE">
        <w:t>to reduce</w:t>
      </w:r>
      <w:r w:rsidR="00A319B7">
        <w:t xml:space="preserve"> the money supply. </w:t>
      </w:r>
      <w:r w:rsidR="004B5AC5">
        <w:t xml:space="preserve">The monetary policy during the inflation period </w:t>
      </w:r>
      <w:r w:rsidR="00625473">
        <w:t>is</w:t>
      </w:r>
      <w:r w:rsidR="00823339">
        <w:t xml:space="preserve"> set to hinder investment, which restricts the amount </w:t>
      </w:r>
      <w:r w:rsidR="00625473">
        <w:t xml:space="preserve">of </w:t>
      </w:r>
      <w:r w:rsidR="00823339">
        <w:t>dollar</w:t>
      </w:r>
      <w:r w:rsidR="00625473">
        <w:t>s</w:t>
      </w:r>
      <w:r w:rsidR="00823339">
        <w:t xml:space="preserve"> in the economy </w:t>
      </w:r>
      <w:r w:rsidR="009E2826">
        <w:t xml:space="preserve">to reduce the demand or output in the market </w:t>
      </w:r>
      <w:r w:rsidR="004A063C">
        <w:t>while lowering the consumer income levels</w:t>
      </w:r>
      <w:r w:rsidR="001E5BB0">
        <w:t xml:space="preserve"> </w:t>
      </w:r>
      <w:r w:rsidR="001E5BB0" w:rsidRPr="001E5BB0">
        <w:t>(Rittenberg &amp; Tregarthen, 2012</w:t>
      </w:r>
      <w:r w:rsidR="001E5BB0">
        <w:t>)</w:t>
      </w:r>
      <w:r w:rsidR="004A063C">
        <w:t xml:space="preserve">. </w:t>
      </w:r>
      <w:r w:rsidR="00E44965">
        <w:t xml:space="preserve">Besides, the Federal Reserve </w:t>
      </w:r>
      <w:r w:rsidR="00C21BF6">
        <w:t xml:space="preserve">raises the minimum reserve requirements to </w:t>
      </w:r>
      <w:r w:rsidR="00377C92">
        <w:t>discourage</w:t>
      </w:r>
      <w:r w:rsidR="00C21BF6">
        <w:t xml:space="preserve"> lenders from lending and curbing the excessive </w:t>
      </w:r>
      <w:r w:rsidR="00377C92">
        <w:t>amount</w:t>
      </w:r>
      <w:r w:rsidR="00C21BF6">
        <w:t xml:space="preserve"> of dollar</w:t>
      </w:r>
      <w:r w:rsidR="00625473">
        <w:t>s</w:t>
      </w:r>
      <w:r w:rsidR="00C21BF6">
        <w:t xml:space="preserve"> in the economy.</w:t>
      </w:r>
    </w:p>
    <w:p w:rsidR="00A363B0" w:rsidRDefault="00A363B0" w:rsidP="00FA42A5">
      <w:pPr>
        <w:spacing w:line="480" w:lineRule="auto"/>
        <w:jc w:val="center"/>
        <w:rPr>
          <w:b/>
        </w:rPr>
      </w:pPr>
      <w:r>
        <w:rPr>
          <w:b/>
        </w:rPr>
        <w:t xml:space="preserve">Policies Supported By </w:t>
      </w:r>
      <w:r w:rsidRPr="00A363B0">
        <w:rPr>
          <w:b/>
        </w:rPr>
        <w:t>Jerome Powell</w:t>
      </w:r>
    </w:p>
    <w:p w:rsidR="00620B90" w:rsidRDefault="005C787D" w:rsidP="00487304">
      <w:pPr>
        <w:spacing w:line="480" w:lineRule="auto"/>
      </w:pPr>
      <w:r>
        <w:tab/>
      </w:r>
      <w:r w:rsidR="00602CC1">
        <w:t xml:space="preserve">Through a monetary policy review, it is deducible that </w:t>
      </w:r>
      <w:r w:rsidR="005C768B">
        <w:t>Powell support</w:t>
      </w:r>
      <w:r w:rsidR="00625473">
        <w:t>s</w:t>
      </w:r>
      <w:r w:rsidR="005C768B">
        <w:t xml:space="preserve"> the monetary policies that seek to stabilize the inflation </w:t>
      </w:r>
      <w:r w:rsidR="00EC7D83">
        <w:t xml:space="preserve">considering </w:t>
      </w:r>
      <w:r w:rsidR="00625473">
        <w:t xml:space="preserve">the </w:t>
      </w:r>
      <w:r w:rsidR="00EC7D83">
        <w:t xml:space="preserve">2% inflation rate in the </w:t>
      </w:r>
      <w:r w:rsidR="008D005C">
        <w:t>long run</w:t>
      </w:r>
      <w:r w:rsidR="00EC7D83">
        <w:t xml:space="preserve"> as salient</w:t>
      </w:r>
      <w:r w:rsidR="004D79F3" w:rsidRPr="004D79F3">
        <w:t xml:space="preserve"> (Powell, 2020)</w:t>
      </w:r>
      <w:r w:rsidR="00EC7D83">
        <w:t xml:space="preserve">. </w:t>
      </w:r>
      <w:r w:rsidR="00020F2A">
        <w:t xml:space="preserve">Besides, </w:t>
      </w:r>
      <w:r w:rsidR="00E62261">
        <w:t xml:space="preserve">open market operations is a Federal Reserve policy for fostering </w:t>
      </w:r>
      <w:r w:rsidR="00625473">
        <w:t>more robust</w:t>
      </w:r>
      <w:r w:rsidR="00E62261">
        <w:t xml:space="preserve"> markets advocated by Powell </w:t>
      </w:r>
      <w:r w:rsidR="002A22C0">
        <w:t>to benefit all Americans. The preference has chang</w:t>
      </w:r>
      <w:r w:rsidR="00C02C43">
        <w:t>ed over the impacts of covid-19</w:t>
      </w:r>
      <w:r w:rsidR="00625473">
        <w:t>. I</w:t>
      </w:r>
      <w:r w:rsidR="00990B03">
        <w:t>nitially</w:t>
      </w:r>
      <w:r w:rsidR="00625473">
        <w:t>,</w:t>
      </w:r>
      <w:r w:rsidR="00990B03">
        <w:t xml:space="preserve"> Powell </w:t>
      </w:r>
      <w:r w:rsidR="00990B03">
        <w:t xml:space="preserve">supported </w:t>
      </w:r>
      <w:r w:rsidR="00625473">
        <w:t xml:space="preserve">the </w:t>
      </w:r>
      <w:r w:rsidR="00275AFE">
        <w:t xml:space="preserve">interest rate </w:t>
      </w:r>
      <w:r w:rsidR="00990B03">
        <w:t>policy for reflecting on the economy to stabilize the prices and optimize employment by promoting a strong labor market</w:t>
      </w:r>
      <w:r w:rsidR="004D79F3" w:rsidRPr="004D79F3">
        <w:t xml:space="preserve"> (Powell, 2020)</w:t>
      </w:r>
      <w:r w:rsidR="00990B03">
        <w:t>.</w:t>
      </w:r>
      <w:r w:rsidR="00275AFE">
        <w:t xml:space="preserve"> </w:t>
      </w:r>
      <w:r w:rsidR="008567E2">
        <w:t xml:space="preserve">However, he now supports stronger open market operations due to the challenges of the </w:t>
      </w:r>
      <w:r w:rsidR="00706F9B">
        <w:t>interest rate proximity</w:t>
      </w:r>
      <w:r w:rsidR="002573E7">
        <w:t xml:space="preserve">. </w:t>
      </w:r>
    </w:p>
    <w:p w:rsidR="00CC093D" w:rsidRDefault="00CC093D" w:rsidP="00FA42A5">
      <w:pPr>
        <w:spacing w:line="480" w:lineRule="auto"/>
        <w:jc w:val="center"/>
        <w:rPr>
          <w:b/>
        </w:rPr>
      </w:pPr>
      <w:r w:rsidRPr="00CC093D">
        <w:rPr>
          <w:b/>
        </w:rPr>
        <w:t>Major Bank Merger</w:t>
      </w:r>
    </w:p>
    <w:p w:rsidR="003A5BA2" w:rsidRDefault="00CC093D" w:rsidP="00487304">
      <w:pPr>
        <w:spacing w:line="480" w:lineRule="auto"/>
      </w:pPr>
      <w:r>
        <w:tab/>
        <w:t xml:space="preserve">A </w:t>
      </w:r>
      <w:r w:rsidR="00625473">
        <w:t>major</w:t>
      </w:r>
      <w:r>
        <w:t xml:space="preserve"> bank merger </w:t>
      </w:r>
      <w:r w:rsidR="008F7B7B">
        <w:t xml:space="preserve">is that of BB&amp;T and </w:t>
      </w:r>
      <w:r w:rsidR="00D62DD5">
        <w:t xml:space="preserve">SunTrust that combined to establish Truist </w:t>
      </w:r>
      <w:r w:rsidR="00061331">
        <w:t>(Truist Financial Corporation)</w:t>
      </w:r>
      <w:r w:rsidR="00625473">
        <w:t>,</w:t>
      </w:r>
      <w:r w:rsidR="00061331">
        <w:t xml:space="preserve"> formed in 2019 with approximately 10 million </w:t>
      </w:r>
      <w:r w:rsidR="00564F05">
        <w:t>users or consumer</w:t>
      </w:r>
      <w:r w:rsidR="00625473">
        <w:t>s</w:t>
      </w:r>
      <w:r w:rsidR="00564F05">
        <w:t xml:space="preserve"> </w:t>
      </w:r>
      <w:r w:rsidR="00000283">
        <w:t>within the business and household spheres</w:t>
      </w:r>
      <w:r w:rsidR="00364484" w:rsidRPr="00364484">
        <w:t xml:space="preserve"> (Truist, 2019)</w:t>
      </w:r>
      <w:r w:rsidR="00000283">
        <w:t xml:space="preserve">. </w:t>
      </w:r>
      <w:r w:rsidR="00521E07">
        <w:t xml:space="preserve">With Truist, the corporation targets to </w:t>
      </w:r>
      <w:r w:rsidR="00F21936">
        <w:t xml:space="preserve">enhance a transformative and investment-oriented company in innovative technology </w:t>
      </w:r>
      <w:r w:rsidR="00E37572">
        <w:t xml:space="preserve">for </w:t>
      </w:r>
      <w:r w:rsidR="00625473">
        <w:t xml:space="preserve">the </w:t>
      </w:r>
      <w:r w:rsidR="00E37572">
        <w:t xml:space="preserve">client experience. </w:t>
      </w:r>
      <w:r w:rsidR="005C1A60">
        <w:t xml:space="preserve">Through the </w:t>
      </w:r>
      <w:r w:rsidR="00C450D3">
        <w:t>merger,</w:t>
      </w:r>
      <w:r w:rsidR="005C1A60">
        <w:t xml:space="preserve"> consumers can freely use their </w:t>
      </w:r>
      <w:r w:rsidR="007A6CC9" w:rsidRPr="007A6CC9">
        <w:t>BB&amp;T and SunTrust ATMs</w:t>
      </w:r>
      <w:r w:rsidR="007A6CC9">
        <w:t xml:space="preserve"> to withdraw</w:t>
      </w:r>
      <w:r w:rsidR="00625473">
        <w:t xml:space="preserve"> without incurring</w:t>
      </w:r>
      <w:r w:rsidR="004C667E">
        <w:t xml:space="preserve"> </w:t>
      </w:r>
      <w:r w:rsidR="00C450D3" w:rsidRPr="00C450D3">
        <w:t>out-of-network fees</w:t>
      </w:r>
      <w:r w:rsidR="00C450D3">
        <w:t xml:space="preserve">. </w:t>
      </w:r>
      <w:r w:rsidR="007C2E8B">
        <w:t xml:space="preserve">The </w:t>
      </w:r>
      <w:r w:rsidR="00625473">
        <w:t>merger results</w:t>
      </w:r>
      <w:r w:rsidR="007C2E8B">
        <w:t xml:space="preserve"> </w:t>
      </w:r>
      <w:r w:rsidR="00625473">
        <w:t>are</w:t>
      </w:r>
      <w:r w:rsidR="00E03695">
        <w:t xml:space="preserve"> the positivity to the money and financial markets since they provide </w:t>
      </w:r>
      <w:r w:rsidR="00625473">
        <w:t>various</w:t>
      </w:r>
      <w:r w:rsidR="00E03695">
        <w:t xml:space="preserve"> services related to asset management, banking, insurance</w:t>
      </w:r>
      <w:r w:rsidR="00625473">
        <w:t>,</w:t>
      </w:r>
      <w:r w:rsidR="00E03695">
        <w:t xml:space="preserve"> and </w:t>
      </w:r>
      <w:r w:rsidR="001070D9">
        <w:t>securities</w:t>
      </w:r>
      <w:r w:rsidR="00E03695">
        <w:t xml:space="preserve"> brokerage. </w:t>
      </w:r>
      <w:r w:rsidR="001070D9">
        <w:t xml:space="preserve">This is a viewable </w:t>
      </w:r>
      <w:r w:rsidR="00FE1DCE">
        <w:t xml:space="preserve">milestone for the future </w:t>
      </w:r>
      <w:r w:rsidR="00426B5C">
        <w:t xml:space="preserve">for achieving an integrated service delivery </w:t>
      </w:r>
      <w:r w:rsidR="00CF59D0">
        <w:t xml:space="preserve">through a coordinated future. </w:t>
      </w:r>
    </w:p>
    <w:p w:rsidR="00435619" w:rsidRDefault="00435619" w:rsidP="00FA42A5">
      <w:pPr>
        <w:spacing w:line="480" w:lineRule="auto"/>
        <w:jc w:val="center"/>
        <w:rPr>
          <w:b/>
        </w:rPr>
      </w:pPr>
      <w:r w:rsidRPr="00435619">
        <w:rPr>
          <w:b/>
        </w:rPr>
        <w:lastRenderedPageBreak/>
        <w:t>The Bailout of the Financial Services Industry and the Future of Banking</w:t>
      </w:r>
    </w:p>
    <w:p w:rsidR="00435619" w:rsidRDefault="00561A1F" w:rsidP="00487304">
      <w:pPr>
        <w:spacing w:line="480" w:lineRule="auto"/>
      </w:pPr>
      <w:r>
        <w:tab/>
      </w:r>
      <w:r w:rsidR="00004F57">
        <w:t xml:space="preserve">Bailout for the financial services firms is a salient </w:t>
      </w:r>
      <w:r w:rsidR="00F60C26">
        <w:t xml:space="preserve">practice </w:t>
      </w:r>
      <w:r w:rsidR="002338A1">
        <w:t>since it protect</w:t>
      </w:r>
      <w:r w:rsidR="00625473">
        <w:t>s</w:t>
      </w:r>
      <w:r w:rsidR="002338A1">
        <w:t xml:space="preserve"> the organizations from downfall resulting from </w:t>
      </w:r>
      <w:r w:rsidR="00ED4640">
        <w:t>bankruptcy</w:t>
      </w:r>
      <w:r w:rsidR="002338A1">
        <w:t xml:space="preserve"> and </w:t>
      </w:r>
      <w:r w:rsidR="00ED4640">
        <w:t>defaulting</w:t>
      </w:r>
      <w:r w:rsidR="002338A1">
        <w:t xml:space="preserve"> financial obligations.</w:t>
      </w:r>
      <w:r w:rsidR="00ED4640">
        <w:t xml:space="preserve"> A bailout is an injection of money into the economy</w:t>
      </w:r>
      <w:r w:rsidR="00625473">
        <w:t>,</w:t>
      </w:r>
      <w:r w:rsidR="00ED4640">
        <w:t xml:space="preserve"> meaning an equal increase in spending </w:t>
      </w:r>
      <w:r w:rsidR="00D23B04">
        <w:t>for direct improvement of the entire economy.</w:t>
      </w:r>
      <w:r w:rsidR="007E3875">
        <w:t xml:space="preserve"> However, </w:t>
      </w:r>
      <w:r w:rsidR="00B76236">
        <w:t xml:space="preserve">by </w:t>
      </w:r>
      <w:bookmarkStart w:id="0" w:name="_GoBack"/>
      <w:bookmarkEnd w:id="0"/>
      <w:r w:rsidR="007E3875">
        <w:t xml:space="preserve">not revealing </w:t>
      </w:r>
      <w:r w:rsidR="00A11FFA">
        <w:t xml:space="preserve">the types of banks to </w:t>
      </w:r>
      <w:r w:rsidR="00421A08">
        <w:t>bail</w:t>
      </w:r>
      <w:r w:rsidR="00A11FFA">
        <w:t xml:space="preserve"> out reveals a significant moral hazard</w:t>
      </w:r>
      <w:r w:rsidR="00421A08">
        <w:t xml:space="preserve"> of the</w:t>
      </w:r>
      <w:r w:rsidR="00421A08">
        <w:t xml:space="preserve"> practice</w:t>
      </w:r>
      <w:r w:rsidR="00A11FFA">
        <w:t>.</w:t>
      </w:r>
      <w:r w:rsidR="00421A08">
        <w:t xml:space="preserve"> </w:t>
      </w:r>
      <w:r w:rsidR="00274DCE">
        <w:t xml:space="preserve">In the future, banking will be a distinct approach defined by significant embracement of the </w:t>
      </w:r>
      <w:r w:rsidR="007C7552">
        <w:t xml:space="preserve">emerging technology and flexibility </w:t>
      </w:r>
      <w:r w:rsidR="00695F69">
        <w:t>to incorporate the evolving business models</w:t>
      </w:r>
      <w:r w:rsidR="0087270D" w:rsidRPr="0087270D">
        <w:t xml:space="preserve"> (Celner, 2020)</w:t>
      </w:r>
      <w:r w:rsidR="00695F69">
        <w:t xml:space="preserve">. </w:t>
      </w:r>
      <w:r w:rsidR="00F70B63">
        <w:t xml:space="preserve">As a result, </w:t>
      </w:r>
      <w:r w:rsidR="00D25BB1">
        <w:t xml:space="preserve">the customer expectations continue to escalate </w:t>
      </w:r>
      <w:r w:rsidR="009A6F33">
        <w:t xml:space="preserve">as new technologies emerging for new business modes, which will make the future a customer-centered activity. </w:t>
      </w:r>
      <w:r w:rsidR="009434E4">
        <w:t xml:space="preserve">Besides, </w:t>
      </w:r>
      <w:r w:rsidR="00625473">
        <w:t>future banking is expected to be a more automated process to increase efficiency and decrease the natural touch with the changes in technology</w:t>
      </w:r>
      <w:r w:rsidR="00234067">
        <w:t xml:space="preserve">. </w:t>
      </w:r>
    </w:p>
    <w:p w:rsidR="00607448" w:rsidRDefault="00607448" w:rsidP="00487304">
      <w:pPr>
        <w:spacing w:line="480" w:lineRule="auto"/>
      </w:pPr>
    </w:p>
    <w:p w:rsidR="00607448" w:rsidRDefault="00607448" w:rsidP="00487304">
      <w:pPr>
        <w:spacing w:line="480" w:lineRule="auto"/>
      </w:pPr>
    </w:p>
    <w:p w:rsidR="00607448" w:rsidRDefault="00607448" w:rsidP="00487304">
      <w:pPr>
        <w:spacing w:line="480" w:lineRule="auto"/>
      </w:pPr>
    </w:p>
    <w:p w:rsidR="00607448" w:rsidRDefault="00607448" w:rsidP="00487304">
      <w:pPr>
        <w:spacing w:line="480" w:lineRule="auto"/>
      </w:pPr>
    </w:p>
    <w:p w:rsidR="00607448" w:rsidRDefault="00607448" w:rsidP="00487304">
      <w:pPr>
        <w:spacing w:line="480" w:lineRule="auto"/>
      </w:pPr>
    </w:p>
    <w:p w:rsidR="00607448" w:rsidRDefault="00607448" w:rsidP="00487304">
      <w:pPr>
        <w:spacing w:line="480" w:lineRule="auto"/>
      </w:pPr>
    </w:p>
    <w:p w:rsidR="00607448" w:rsidRDefault="00607448" w:rsidP="00487304">
      <w:pPr>
        <w:spacing w:line="480" w:lineRule="auto"/>
      </w:pPr>
    </w:p>
    <w:p w:rsidR="00607448" w:rsidRDefault="00607448" w:rsidP="00487304">
      <w:pPr>
        <w:spacing w:line="480" w:lineRule="auto"/>
      </w:pPr>
    </w:p>
    <w:p w:rsidR="00607448" w:rsidRDefault="00607448" w:rsidP="00487304">
      <w:pPr>
        <w:spacing w:line="480" w:lineRule="auto"/>
      </w:pPr>
    </w:p>
    <w:p w:rsidR="00607448" w:rsidRDefault="00607448" w:rsidP="00487304">
      <w:pPr>
        <w:spacing w:line="480" w:lineRule="auto"/>
      </w:pPr>
    </w:p>
    <w:p w:rsidR="00607448" w:rsidRDefault="00607448" w:rsidP="00487304">
      <w:pPr>
        <w:spacing w:line="480" w:lineRule="auto"/>
      </w:pPr>
    </w:p>
    <w:p w:rsidR="00607448" w:rsidRDefault="00607448" w:rsidP="00487304">
      <w:pPr>
        <w:spacing w:line="480" w:lineRule="auto"/>
      </w:pPr>
    </w:p>
    <w:p w:rsidR="00607448" w:rsidRDefault="00607448" w:rsidP="00487304">
      <w:pPr>
        <w:spacing w:line="480" w:lineRule="auto"/>
      </w:pPr>
    </w:p>
    <w:p w:rsidR="00607448" w:rsidRPr="00607448" w:rsidRDefault="00607448" w:rsidP="00607448">
      <w:pPr>
        <w:spacing w:line="480" w:lineRule="auto"/>
        <w:jc w:val="center"/>
        <w:rPr>
          <w:b/>
          <w:lang w:val="en-GB"/>
        </w:rPr>
      </w:pPr>
      <w:r w:rsidRPr="00607448">
        <w:rPr>
          <w:b/>
          <w:lang w:val="en-GB"/>
        </w:rPr>
        <w:lastRenderedPageBreak/>
        <w:t>References</w:t>
      </w:r>
    </w:p>
    <w:p w:rsidR="00607448" w:rsidRPr="00607448" w:rsidRDefault="00607448" w:rsidP="00607448">
      <w:pPr>
        <w:spacing w:line="480" w:lineRule="auto"/>
        <w:ind w:left="720" w:hanging="720"/>
        <w:rPr>
          <w:lang w:val="en-GB"/>
        </w:rPr>
      </w:pPr>
      <w:r w:rsidRPr="00607448">
        <w:rPr>
          <w:lang w:val="en-GB"/>
        </w:rPr>
        <w:t>Celner, A. (2020, April 15). </w:t>
      </w:r>
      <w:r w:rsidRPr="00607448">
        <w:rPr>
          <w:i/>
          <w:iCs/>
          <w:lang w:val="en-GB"/>
        </w:rPr>
        <w:t>Bank of 2030: The future of banking</w:t>
      </w:r>
      <w:r w:rsidRPr="00607448">
        <w:rPr>
          <w:lang w:val="en-GB"/>
        </w:rPr>
        <w:t>. Deloitte. </w:t>
      </w:r>
      <w:hyperlink r:id="rId6" w:history="1">
        <w:r w:rsidRPr="00607448">
          <w:rPr>
            <w:rStyle w:val="Hyperlink"/>
            <w:lang w:val="en-GB"/>
          </w:rPr>
          <w:t>https://www2.deloitte.com/global/en/pages/financial-services/articles/bank-of-2030-the-future-of-banking.html</w:t>
        </w:r>
      </w:hyperlink>
    </w:p>
    <w:p w:rsidR="00607448" w:rsidRPr="00607448" w:rsidRDefault="00607448" w:rsidP="00607448">
      <w:pPr>
        <w:spacing w:line="480" w:lineRule="auto"/>
        <w:ind w:left="720" w:hanging="720"/>
        <w:rPr>
          <w:lang w:val="en-GB"/>
        </w:rPr>
      </w:pPr>
      <w:r w:rsidRPr="00607448">
        <w:rPr>
          <w:lang w:val="en-GB"/>
        </w:rPr>
        <w:t>Federal Reserve Education. (n.d.). </w:t>
      </w:r>
      <w:r w:rsidRPr="00607448">
        <w:rPr>
          <w:i/>
          <w:iCs/>
          <w:lang w:val="en-GB"/>
        </w:rPr>
        <w:t>Monetary policy basics</w:t>
      </w:r>
      <w:r w:rsidRPr="00607448">
        <w:rPr>
          <w:lang w:val="en-GB"/>
        </w:rPr>
        <w:t>. </w:t>
      </w:r>
      <w:hyperlink r:id="rId7" w:history="1">
        <w:r w:rsidRPr="00607448">
          <w:rPr>
            <w:rStyle w:val="Hyperlink"/>
            <w:lang w:val="en-GB"/>
          </w:rPr>
          <w:t>https://www.federalreserveeducation.org/about-the-fed/structure-and-functions/monetary-policy</w:t>
        </w:r>
      </w:hyperlink>
    </w:p>
    <w:p w:rsidR="00607448" w:rsidRPr="00607448" w:rsidRDefault="00607448" w:rsidP="00607448">
      <w:pPr>
        <w:spacing w:line="480" w:lineRule="auto"/>
        <w:ind w:left="720" w:hanging="720"/>
        <w:rPr>
          <w:lang w:val="en-GB"/>
        </w:rPr>
      </w:pPr>
      <w:r w:rsidRPr="00607448">
        <w:rPr>
          <w:lang w:val="en-GB"/>
        </w:rPr>
        <w:t>Mathai, K. (2020, February 24). </w:t>
      </w:r>
      <w:r w:rsidRPr="00607448">
        <w:rPr>
          <w:i/>
          <w:iCs/>
          <w:lang w:val="en-GB"/>
        </w:rPr>
        <w:t>Monetary policy: Stabilizing prices and output</w:t>
      </w:r>
      <w:r w:rsidRPr="00607448">
        <w:rPr>
          <w:lang w:val="en-GB"/>
        </w:rPr>
        <w:t>. Finance &amp; Development: IMF. </w:t>
      </w:r>
      <w:hyperlink r:id="rId8" w:history="1">
        <w:r w:rsidRPr="00607448">
          <w:rPr>
            <w:rStyle w:val="Hyperlink"/>
            <w:lang w:val="en-GB"/>
          </w:rPr>
          <w:t>https://www.imf.org/external/pubs/ft/fandd/basics/monpol.htm</w:t>
        </w:r>
      </w:hyperlink>
    </w:p>
    <w:p w:rsidR="00607448" w:rsidRPr="00607448" w:rsidRDefault="00607448" w:rsidP="00607448">
      <w:pPr>
        <w:spacing w:line="480" w:lineRule="auto"/>
        <w:ind w:left="720" w:hanging="720"/>
        <w:rPr>
          <w:lang w:val="en-GB"/>
        </w:rPr>
      </w:pPr>
      <w:r w:rsidRPr="00607448">
        <w:rPr>
          <w:lang w:val="en-GB"/>
        </w:rPr>
        <w:t>Powell, J. H. (2020, August 27). </w:t>
      </w:r>
      <w:r w:rsidRPr="00607448">
        <w:rPr>
          <w:i/>
          <w:iCs/>
          <w:lang w:val="en-GB"/>
        </w:rPr>
        <w:t>Speech by Chair Powell on new economic challenges and the Fed's monetary policy review</w:t>
      </w:r>
      <w:r w:rsidRPr="00607448">
        <w:rPr>
          <w:lang w:val="en-GB"/>
        </w:rPr>
        <w:t>. Board of Governors of the Federal Reserve System. </w:t>
      </w:r>
      <w:hyperlink r:id="rId9" w:history="1">
        <w:r w:rsidRPr="00607448">
          <w:rPr>
            <w:rStyle w:val="Hyperlink"/>
            <w:lang w:val="en-GB"/>
          </w:rPr>
          <w:t>https://www.federalreserve.gov/newsevents/speech/powell20200827a.htm</w:t>
        </w:r>
      </w:hyperlink>
    </w:p>
    <w:p w:rsidR="00607448" w:rsidRPr="00607448" w:rsidRDefault="00607448" w:rsidP="00607448">
      <w:pPr>
        <w:spacing w:line="480" w:lineRule="auto"/>
        <w:ind w:left="720" w:hanging="720"/>
        <w:rPr>
          <w:lang w:val="en-GB"/>
        </w:rPr>
      </w:pPr>
      <w:r w:rsidRPr="00607448">
        <w:rPr>
          <w:lang w:val="de-DE"/>
        </w:rPr>
        <w:t>Rittenberg, L., &amp; Tregarthen, T. D. (2012). </w:t>
      </w:r>
      <w:r w:rsidRPr="00607448">
        <w:rPr>
          <w:i/>
          <w:iCs/>
          <w:lang w:val="en-GB"/>
        </w:rPr>
        <w:t>Principles of microeconomics: Version 2.0</w:t>
      </w:r>
      <w:r w:rsidRPr="00607448">
        <w:rPr>
          <w:lang w:val="en-GB"/>
        </w:rPr>
        <w:t>. </w:t>
      </w:r>
      <w:hyperlink r:id="rId10" w:history="1">
        <w:r w:rsidRPr="00607448">
          <w:rPr>
            <w:rStyle w:val="Hyperlink"/>
            <w:lang w:val="en-GB"/>
          </w:rPr>
          <w:t>https://saylordotorg.github.io/text_principles-of-economics-v2.0/index.html</w:t>
        </w:r>
      </w:hyperlink>
    </w:p>
    <w:p w:rsidR="00607448" w:rsidRPr="00607448" w:rsidRDefault="00607448" w:rsidP="00607448">
      <w:pPr>
        <w:spacing w:line="480" w:lineRule="auto"/>
        <w:ind w:left="720" w:hanging="720"/>
        <w:rPr>
          <w:lang w:val="en-GB"/>
        </w:rPr>
      </w:pPr>
      <w:r w:rsidRPr="00607448">
        <w:rPr>
          <w:lang w:val="en-GB"/>
        </w:rPr>
        <w:t>Truist. (2019). </w:t>
      </w:r>
      <w:r w:rsidRPr="00607448">
        <w:rPr>
          <w:i/>
          <w:iCs/>
          <w:lang w:val="en-GB"/>
        </w:rPr>
        <w:t>BB&amp;T and SunTrust complete merger of equals to become Truist</w:t>
      </w:r>
      <w:r w:rsidRPr="00607448">
        <w:rPr>
          <w:lang w:val="en-GB"/>
        </w:rPr>
        <w:t>. Truist Newsroom. </w:t>
      </w:r>
      <w:hyperlink r:id="rId11" w:anchor=":~:text=" w:history="1">
        <w:r w:rsidRPr="00607448">
          <w:rPr>
            <w:rStyle w:val="Hyperlink"/>
            <w:lang w:val="en-GB"/>
          </w:rPr>
          <w:t>https://media.truist.com/2019-12-09-BB-T-and-SunTrust-complete-merger-of-equals-to-become-Truist#:~:text=</w:t>
        </w:r>
      </w:hyperlink>
    </w:p>
    <w:p w:rsidR="00607448" w:rsidRPr="00435619" w:rsidRDefault="00607448" w:rsidP="00487304">
      <w:pPr>
        <w:spacing w:line="480" w:lineRule="auto"/>
      </w:pPr>
    </w:p>
    <w:p w:rsidR="008276A4" w:rsidRPr="00CC093D" w:rsidRDefault="00CF59D0" w:rsidP="00487304">
      <w:pPr>
        <w:spacing w:line="480" w:lineRule="auto"/>
        <w:rPr>
          <w:b/>
        </w:rPr>
      </w:pPr>
      <w:r>
        <w:t xml:space="preserve"> </w:t>
      </w:r>
      <w:r w:rsidR="00D62DD5">
        <w:t xml:space="preserve"> </w:t>
      </w:r>
      <w:r w:rsidR="00CC093D" w:rsidRPr="00CC093D">
        <w:rPr>
          <w:b/>
        </w:rPr>
        <w:t xml:space="preserve">   </w:t>
      </w:r>
      <w:r w:rsidR="00CC093D" w:rsidRPr="00CC093D">
        <w:rPr>
          <w:b/>
        </w:rPr>
        <w:tab/>
        <w:t xml:space="preserve">    </w:t>
      </w:r>
    </w:p>
    <w:sectPr w:rsidR="008276A4" w:rsidRPr="00CC093D" w:rsidSect="000F38FE">
      <w:headerReference w:type="default" r:id="rId12"/>
      <w:pgSz w:w="11906" w:h="16838"/>
      <w:pgMar w:top="1440" w:right="1440" w:bottom="1440" w:left="1440" w:header="720" w:footer="720" w:gutter="0"/>
      <w:paperSrc w:first="15" w:other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1ED7" w:rsidRDefault="004F1ED7" w:rsidP="00094342">
      <w:pPr>
        <w:spacing w:line="240" w:lineRule="auto"/>
      </w:pPr>
      <w:r>
        <w:separator/>
      </w:r>
    </w:p>
  </w:endnote>
  <w:endnote w:type="continuationSeparator" w:id="0">
    <w:p w:rsidR="004F1ED7" w:rsidRDefault="004F1ED7" w:rsidP="0009434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1ED7" w:rsidRDefault="004F1ED7" w:rsidP="00094342">
      <w:pPr>
        <w:spacing w:line="240" w:lineRule="auto"/>
      </w:pPr>
      <w:r>
        <w:separator/>
      </w:r>
    </w:p>
  </w:footnote>
  <w:footnote w:type="continuationSeparator" w:id="0">
    <w:p w:rsidR="004F1ED7" w:rsidRDefault="004F1ED7" w:rsidP="0009434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68340229"/>
      <w:docPartObj>
        <w:docPartGallery w:val="Page Numbers (Top of Page)"/>
        <w:docPartUnique/>
      </w:docPartObj>
    </w:sdtPr>
    <w:sdtEndPr>
      <w:rPr>
        <w:noProof/>
      </w:rPr>
    </w:sdtEndPr>
    <w:sdtContent>
      <w:p w:rsidR="00094342" w:rsidRDefault="00094342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623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094342" w:rsidRDefault="0009434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UyMTExsjS1NDI3sDBR0lEKTi0uzszPAykwrAUAeccuPCwAAAA="/>
  </w:docVars>
  <w:rsids>
    <w:rsidRoot w:val="00143AAA"/>
    <w:rsid w:val="00000283"/>
    <w:rsid w:val="00004F57"/>
    <w:rsid w:val="00020F2A"/>
    <w:rsid w:val="00061331"/>
    <w:rsid w:val="00073EC5"/>
    <w:rsid w:val="00094342"/>
    <w:rsid w:val="000B38F6"/>
    <w:rsid w:val="000D4067"/>
    <w:rsid w:val="000F38FE"/>
    <w:rsid w:val="001070D9"/>
    <w:rsid w:val="00143AAA"/>
    <w:rsid w:val="00151F96"/>
    <w:rsid w:val="00157619"/>
    <w:rsid w:val="00170401"/>
    <w:rsid w:val="00182F57"/>
    <w:rsid w:val="0019199A"/>
    <w:rsid w:val="001A60B5"/>
    <w:rsid w:val="001C0B6D"/>
    <w:rsid w:val="001D21E8"/>
    <w:rsid w:val="001E0092"/>
    <w:rsid w:val="001E5BB0"/>
    <w:rsid w:val="002338A1"/>
    <w:rsid w:val="00234067"/>
    <w:rsid w:val="00242655"/>
    <w:rsid w:val="00251031"/>
    <w:rsid w:val="002573E7"/>
    <w:rsid w:val="002644BB"/>
    <w:rsid w:val="00274DCE"/>
    <w:rsid w:val="00275AFE"/>
    <w:rsid w:val="002A22C0"/>
    <w:rsid w:val="002B124C"/>
    <w:rsid w:val="002D186F"/>
    <w:rsid w:val="00335596"/>
    <w:rsid w:val="00364484"/>
    <w:rsid w:val="00377C92"/>
    <w:rsid w:val="00380519"/>
    <w:rsid w:val="00390CD6"/>
    <w:rsid w:val="003959BA"/>
    <w:rsid w:val="003A176B"/>
    <w:rsid w:val="003A5BA2"/>
    <w:rsid w:val="003B110C"/>
    <w:rsid w:val="003D18E0"/>
    <w:rsid w:val="00421A08"/>
    <w:rsid w:val="00426B5C"/>
    <w:rsid w:val="00435619"/>
    <w:rsid w:val="00487304"/>
    <w:rsid w:val="004A063C"/>
    <w:rsid w:val="004B5AC5"/>
    <w:rsid w:val="004C133D"/>
    <w:rsid w:val="004C4C62"/>
    <w:rsid w:val="004C667E"/>
    <w:rsid w:val="004D4B03"/>
    <w:rsid w:val="004D79F3"/>
    <w:rsid w:val="004F1ED7"/>
    <w:rsid w:val="004F4A31"/>
    <w:rsid w:val="00521E07"/>
    <w:rsid w:val="00524237"/>
    <w:rsid w:val="00561A1F"/>
    <w:rsid w:val="00564F05"/>
    <w:rsid w:val="005C1A60"/>
    <w:rsid w:val="005C768B"/>
    <w:rsid w:val="005C787D"/>
    <w:rsid w:val="005E7A71"/>
    <w:rsid w:val="00602CC1"/>
    <w:rsid w:val="006048B5"/>
    <w:rsid w:val="00607448"/>
    <w:rsid w:val="00620B90"/>
    <w:rsid w:val="00625473"/>
    <w:rsid w:val="00631B54"/>
    <w:rsid w:val="006428F5"/>
    <w:rsid w:val="00647AFA"/>
    <w:rsid w:val="00695F69"/>
    <w:rsid w:val="00706F9B"/>
    <w:rsid w:val="00712F5C"/>
    <w:rsid w:val="00750EBC"/>
    <w:rsid w:val="007A37E6"/>
    <w:rsid w:val="007A6CC9"/>
    <w:rsid w:val="007C2E8B"/>
    <w:rsid w:val="007C7552"/>
    <w:rsid w:val="007D0821"/>
    <w:rsid w:val="007D768D"/>
    <w:rsid w:val="007E3875"/>
    <w:rsid w:val="00823339"/>
    <w:rsid w:val="008276A4"/>
    <w:rsid w:val="008567E2"/>
    <w:rsid w:val="00857BC4"/>
    <w:rsid w:val="0087270D"/>
    <w:rsid w:val="00876F3F"/>
    <w:rsid w:val="008874CD"/>
    <w:rsid w:val="008A5D46"/>
    <w:rsid w:val="008D005C"/>
    <w:rsid w:val="008F7B7B"/>
    <w:rsid w:val="00921895"/>
    <w:rsid w:val="009434E4"/>
    <w:rsid w:val="00990B03"/>
    <w:rsid w:val="009A6F33"/>
    <w:rsid w:val="009B3577"/>
    <w:rsid w:val="009B424E"/>
    <w:rsid w:val="009E2826"/>
    <w:rsid w:val="00A11FFA"/>
    <w:rsid w:val="00A319B7"/>
    <w:rsid w:val="00A363B0"/>
    <w:rsid w:val="00AB2A26"/>
    <w:rsid w:val="00AB2AA1"/>
    <w:rsid w:val="00AC0277"/>
    <w:rsid w:val="00AD47AD"/>
    <w:rsid w:val="00B14134"/>
    <w:rsid w:val="00B16EE0"/>
    <w:rsid w:val="00B610F1"/>
    <w:rsid w:val="00B752D0"/>
    <w:rsid w:val="00B76236"/>
    <w:rsid w:val="00B8336B"/>
    <w:rsid w:val="00B85BC6"/>
    <w:rsid w:val="00BD456F"/>
    <w:rsid w:val="00BE65B0"/>
    <w:rsid w:val="00BF2CCB"/>
    <w:rsid w:val="00BF3460"/>
    <w:rsid w:val="00C02C43"/>
    <w:rsid w:val="00C216AE"/>
    <w:rsid w:val="00C21BF6"/>
    <w:rsid w:val="00C2584F"/>
    <w:rsid w:val="00C450D3"/>
    <w:rsid w:val="00C71EE9"/>
    <w:rsid w:val="00C71F5E"/>
    <w:rsid w:val="00C908DB"/>
    <w:rsid w:val="00C92991"/>
    <w:rsid w:val="00CC093D"/>
    <w:rsid w:val="00CF59D0"/>
    <w:rsid w:val="00D00105"/>
    <w:rsid w:val="00D06DAA"/>
    <w:rsid w:val="00D23B04"/>
    <w:rsid w:val="00D24304"/>
    <w:rsid w:val="00D25BB1"/>
    <w:rsid w:val="00D47EA4"/>
    <w:rsid w:val="00D62DD5"/>
    <w:rsid w:val="00D65875"/>
    <w:rsid w:val="00D72723"/>
    <w:rsid w:val="00DC158C"/>
    <w:rsid w:val="00DE4FC9"/>
    <w:rsid w:val="00E01A6E"/>
    <w:rsid w:val="00E03695"/>
    <w:rsid w:val="00E12FEA"/>
    <w:rsid w:val="00E24CB6"/>
    <w:rsid w:val="00E25A6F"/>
    <w:rsid w:val="00E37572"/>
    <w:rsid w:val="00E42D1E"/>
    <w:rsid w:val="00E44965"/>
    <w:rsid w:val="00E620AE"/>
    <w:rsid w:val="00E62261"/>
    <w:rsid w:val="00E663E4"/>
    <w:rsid w:val="00E7219D"/>
    <w:rsid w:val="00E77DDE"/>
    <w:rsid w:val="00E90ED0"/>
    <w:rsid w:val="00E93F7A"/>
    <w:rsid w:val="00EC7D83"/>
    <w:rsid w:val="00ED20E6"/>
    <w:rsid w:val="00ED4640"/>
    <w:rsid w:val="00EF5688"/>
    <w:rsid w:val="00F20DDC"/>
    <w:rsid w:val="00F21936"/>
    <w:rsid w:val="00F60C26"/>
    <w:rsid w:val="00F64F79"/>
    <w:rsid w:val="00F70B63"/>
    <w:rsid w:val="00FA42A5"/>
    <w:rsid w:val="00FE0645"/>
    <w:rsid w:val="00FE1DCE"/>
    <w:rsid w:val="00FE1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3E3C591-A16D-4349-94B0-95FA84FC8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7BC4"/>
    <w:pPr>
      <w:spacing w:after="0"/>
    </w:pPr>
    <w:rPr>
      <w:rFonts w:ascii="Times New Roman" w:hAnsi="Times New Roman"/>
      <w:sz w:val="24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94342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4342"/>
    <w:rPr>
      <w:rFonts w:ascii="Times New Roman" w:hAnsi="Times New Roman"/>
      <w:sz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94342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4342"/>
    <w:rPr>
      <w:rFonts w:ascii="Times New Roman" w:hAnsi="Times New Roman"/>
      <w:sz w:val="24"/>
      <w:lang w:val="en-US"/>
    </w:rPr>
  </w:style>
  <w:style w:type="character" w:styleId="Hyperlink">
    <w:name w:val="Hyperlink"/>
    <w:basedOn w:val="DefaultParagraphFont"/>
    <w:uiPriority w:val="99"/>
    <w:unhideWhenUsed/>
    <w:rsid w:val="0060744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20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mf.org/external/pubs/ft/fandd/basics/monpol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federalreserveeducation.org/about-the-fed/structure-and-functions/monetary-policy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2.deloitte.com/global/en/pages/financial-services/articles/bank-of-2030-the-future-of-banking.html" TargetMode="External"/><Relationship Id="rId11" Type="http://schemas.openxmlformats.org/officeDocument/2006/relationships/hyperlink" Target="https://media.truist.com/2019-12-09-BB-T-and-SunTrust-complete-merger-of-equals-to-become-Truist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saylordotorg.github.io/text_principles-of-economics-v2.0/index.html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federalreserve.gov/newsevents/speech/powell20200827a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5</Pages>
  <Words>1046</Words>
  <Characters>5967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157</cp:revision>
  <dcterms:created xsi:type="dcterms:W3CDTF">2021-05-11T22:06:00Z</dcterms:created>
  <dcterms:modified xsi:type="dcterms:W3CDTF">2021-05-12T00:04:00Z</dcterms:modified>
</cp:coreProperties>
</file>