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1A9" w:rsidRPr="00932CB6" w:rsidRDefault="001251A9" w:rsidP="00932CB6">
      <w:pPr>
        <w:spacing w:line="480" w:lineRule="auto"/>
        <w:jc w:val="center"/>
        <w:rPr>
          <w:rFonts w:ascii="Times New Roman" w:hAnsi="Times New Roman" w:cs="Times New Roman"/>
          <w:b/>
          <w:bCs/>
          <w:sz w:val="24"/>
          <w:szCs w:val="24"/>
        </w:rPr>
      </w:pPr>
    </w:p>
    <w:p w:rsidR="001251A9" w:rsidRPr="00932CB6" w:rsidRDefault="001251A9" w:rsidP="00932CB6">
      <w:pPr>
        <w:spacing w:line="480" w:lineRule="auto"/>
        <w:jc w:val="center"/>
        <w:rPr>
          <w:rFonts w:ascii="Times New Roman" w:hAnsi="Times New Roman" w:cs="Times New Roman"/>
          <w:b/>
          <w:bCs/>
          <w:sz w:val="24"/>
          <w:szCs w:val="24"/>
        </w:rPr>
      </w:pPr>
    </w:p>
    <w:p w:rsidR="001251A9" w:rsidRPr="00932CB6" w:rsidRDefault="001251A9" w:rsidP="00932CB6">
      <w:pPr>
        <w:spacing w:line="480" w:lineRule="auto"/>
        <w:rPr>
          <w:rFonts w:ascii="Times New Roman" w:hAnsi="Times New Roman" w:cs="Times New Roman"/>
          <w:b/>
          <w:bCs/>
          <w:sz w:val="24"/>
          <w:szCs w:val="24"/>
        </w:rPr>
      </w:pPr>
    </w:p>
    <w:p w:rsidR="001251A9" w:rsidRPr="00932CB6" w:rsidRDefault="00A47BAE" w:rsidP="00932CB6">
      <w:pPr>
        <w:spacing w:line="480" w:lineRule="auto"/>
        <w:jc w:val="center"/>
        <w:rPr>
          <w:rFonts w:ascii="Times New Roman" w:hAnsi="Times New Roman" w:cs="Times New Roman"/>
          <w:b/>
          <w:bCs/>
          <w:sz w:val="24"/>
          <w:szCs w:val="24"/>
        </w:rPr>
      </w:pPr>
      <w:r w:rsidRPr="00932CB6">
        <w:rPr>
          <w:rFonts w:ascii="Times New Roman" w:hAnsi="Times New Roman" w:cs="Times New Roman"/>
          <w:b/>
          <w:bCs/>
          <w:sz w:val="24"/>
          <w:szCs w:val="24"/>
        </w:rPr>
        <w:t>Discussion and Replies on Organizational Change Assignment</w:t>
      </w:r>
    </w:p>
    <w:p w:rsidR="001251A9" w:rsidRPr="00932CB6" w:rsidRDefault="001251A9" w:rsidP="00932CB6">
      <w:pPr>
        <w:spacing w:line="480" w:lineRule="auto"/>
        <w:jc w:val="center"/>
        <w:rPr>
          <w:rFonts w:ascii="Times New Roman" w:hAnsi="Times New Roman" w:cs="Times New Roman"/>
          <w:b/>
          <w:bCs/>
          <w:sz w:val="24"/>
          <w:szCs w:val="24"/>
        </w:rPr>
      </w:pPr>
    </w:p>
    <w:p w:rsidR="001251A9" w:rsidRPr="00932CB6" w:rsidRDefault="001251A9" w:rsidP="00932CB6">
      <w:pPr>
        <w:spacing w:line="480" w:lineRule="auto"/>
        <w:jc w:val="center"/>
        <w:rPr>
          <w:rFonts w:ascii="Times New Roman" w:hAnsi="Times New Roman" w:cs="Times New Roman"/>
          <w:b/>
          <w:bCs/>
          <w:sz w:val="24"/>
          <w:szCs w:val="24"/>
        </w:rPr>
      </w:pPr>
    </w:p>
    <w:p w:rsidR="001251A9" w:rsidRPr="00932CB6" w:rsidRDefault="00A47BAE" w:rsidP="00932CB6">
      <w:pPr>
        <w:spacing w:line="480" w:lineRule="auto"/>
        <w:jc w:val="center"/>
        <w:rPr>
          <w:rFonts w:ascii="Times New Roman" w:hAnsi="Times New Roman" w:cs="Times New Roman"/>
          <w:sz w:val="24"/>
          <w:szCs w:val="24"/>
        </w:rPr>
      </w:pPr>
      <w:r w:rsidRPr="00932CB6">
        <w:rPr>
          <w:rFonts w:ascii="Times New Roman" w:hAnsi="Times New Roman" w:cs="Times New Roman"/>
          <w:sz w:val="24"/>
          <w:szCs w:val="24"/>
        </w:rPr>
        <w:t xml:space="preserve">Reginald McKelvin </w:t>
      </w:r>
    </w:p>
    <w:p w:rsidR="001251A9" w:rsidRPr="00932CB6" w:rsidRDefault="00A47BAE" w:rsidP="00932CB6">
      <w:pPr>
        <w:spacing w:line="480" w:lineRule="auto"/>
        <w:jc w:val="center"/>
        <w:rPr>
          <w:rFonts w:ascii="Times New Roman" w:hAnsi="Times New Roman" w:cs="Times New Roman"/>
          <w:sz w:val="24"/>
          <w:szCs w:val="24"/>
        </w:rPr>
      </w:pPr>
      <w:r w:rsidRPr="00932CB6">
        <w:rPr>
          <w:rFonts w:ascii="Times New Roman" w:hAnsi="Times New Roman" w:cs="Times New Roman"/>
          <w:sz w:val="24"/>
          <w:szCs w:val="24"/>
        </w:rPr>
        <w:t>School of Education, Liberty University</w:t>
      </w:r>
    </w:p>
    <w:p w:rsidR="001251A9" w:rsidRPr="00932CB6" w:rsidRDefault="001251A9" w:rsidP="00932CB6">
      <w:pPr>
        <w:spacing w:line="480" w:lineRule="auto"/>
        <w:rPr>
          <w:rFonts w:ascii="Times New Roman" w:hAnsi="Times New Roman" w:cs="Times New Roman"/>
          <w:sz w:val="24"/>
          <w:szCs w:val="24"/>
        </w:rPr>
      </w:pPr>
    </w:p>
    <w:p w:rsidR="001251A9" w:rsidRPr="00932CB6" w:rsidRDefault="001251A9" w:rsidP="00932CB6">
      <w:pPr>
        <w:spacing w:line="480" w:lineRule="auto"/>
        <w:rPr>
          <w:rFonts w:ascii="Times New Roman" w:hAnsi="Times New Roman" w:cs="Times New Roman"/>
          <w:sz w:val="24"/>
          <w:szCs w:val="24"/>
        </w:rPr>
      </w:pPr>
    </w:p>
    <w:p w:rsidR="001251A9" w:rsidRPr="00932CB6" w:rsidRDefault="001251A9" w:rsidP="00932CB6">
      <w:pPr>
        <w:spacing w:line="480" w:lineRule="auto"/>
        <w:rPr>
          <w:rFonts w:ascii="Times New Roman" w:hAnsi="Times New Roman" w:cs="Times New Roman"/>
          <w:sz w:val="24"/>
          <w:szCs w:val="24"/>
        </w:rPr>
      </w:pPr>
    </w:p>
    <w:p w:rsidR="001251A9" w:rsidRPr="00932CB6" w:rsidRDefault="001251A9" w:rsidP="00932CB6">
      <w:pPr>
        <w:spacing w:line="480" w:lineRule="auto"/>
        <w:rPr>
          <w:rFonts w:ascii="Times New Roman" w:hAnsi="Times New Roman" w:cs="Times New Roman"/>
          <w:sz w:val="24"/>
          <w:szCs w:val="24"/>
        </w:rPr>
      </w:pPr>
    </w:p>
    <w:p w:rsidR="001251A9" w:rsidRPr="00932CB6" w:rsidRDefault="001251A9" w:rsidP="00932CB6">
      <w:pPr>
        <w:spacing w:line="480" w:lineRule="auto"/>
        <w:rPr>
          <w:rFonts w:ascii="Times New Roman" w:hAnsi="Times New Roman" w:cs="Times New Roman"/>
          <w:sz w:val="24"/>
          <w:szCs w:val="24"/>
        </w:rPr>
      </w:pPr>
    </w:p>
    <w:p w:rsidR="001251A9" w:rsidRPr="00932CB6" w:rsidRDefault="00A47BAE" w:rsidP="00932CB6">
      <w:pPr>
        <w:spacing w:line="480" w:lineRule="auto"/>
        <w:jc w:val="center"/>
        <w:rPr>
          <w:rFonts w:ascii="Times New Roman" w:eastAsia="Calibri" w:hAnsi="Times New Roman" w:cs="Times New Roman"/>
          <w:b/>
          <w:bCs/>
          <w:sz w:val="24"/>
          <w:szCs w:val="24"/>
        </w:rPr>
      </w:pPr>
      <w:r w:rsidRPr="00932CB6">
        <w:rPr>
          <w:rFonts w:ascii="Times New Roman" w:eastAsia="Calibri" w:hAnsi="Times New Roman" w:cs="Times New Roman"/>
          <w:b/>
          <w:bCs/>
          <w:sz w:val="24"/>
          <w:szCs w:val="24"/>
        </w:rPr>
        <w:t>Author Note</w:t>
      </w:r>
    </w:p>
    <w:p w:rsidR="001251A9" w:rsidRPr="00932CB6" w:rsidRDefault="00A47BAE" w:rsidP="00932CB6">
      <w:pPr>
        <w:spacing w:after="0" w:line="480" w:lineRule="auto"/>
        <w:ind w:firstLine="720"/>
        <w:rPr>
          <w:rFonts w:ascii="Times New Roman" w:eastAsia="Calibri" w:hAnsi="Times New Roman" w:cs="Times New Roman"/>
          <w:sz w:val="24"/>
          <w:szCs w:val="24"/>
        </w:rPr>
      </w:pPr>
      <w:r w:rsidRPr="00932CB6">
        <w:rPr>
          <w:rFonts w:ascii="Times New Roman" w:eastAsia="Calibri" w:hAnsi="Times New Roman" w:cs="Times New Roman"/>
          <w:sz w:val="24"/>
          <w:szCs w:val="24"/>
        </w:rPr>
        <w:t>Reginald McKelvin</w:t>
      </w:r>
    </w:p>
    <w:p w:rsidR="001251A9" w:rsidRPr="00932CB6" w:rsidRDefault="00A47BAE" w:rsidP="00932CB6">
      <w:pPr>
        <w:spacing w:after="0" w:line="480" w:lineRule="auto"/>
        <w:ind w:firstLine="720"/>
        <w:rPr>
          <w:rFonts w:ascii="Times New Roman" w:eastAsia="Calibri" w:hAnsi="Times New Roman" w:cs="Times New Roman"/>
          <w:sz w:val="24"/>
          <w:szCs w:val="24"/>
        </w:rPr>
      </w:pPr>
      <w:r w:rsidRPr="00932CB6">
        <w:rPr>
          <w:rFonts w:ascii="Times New Roman" w:eastAsia="Calibri" w:hAnsi="Times New Roman" w:cs="Times New Roman"/>
          <w:sz w:val="24"/>
          <w:szCs w:val="24"/>
        </w:rPr>
        <w:t xml:space="preserve">I have no known conflict of interest to disclose. </w:t>
      </w:r>
    </w:p>
    <w:p w:rsidR="001251A9" w:rsidRPr="00932CB6" w:rsidRDefault="00A47BAE" w:rsidP="00932CB6">
      <w:pPr>
        <w:spacing w:after="0" w:line="480" w:lineRule="auto"/>
        <w:ind w:firstLine="720"/>
        <w:rPr>
          <w:rFonts w:ascii="Times New Roman" w:eastAsia="Calibri" w:hAnsi="Times New Roman" w:cs="Times New Roman"/>
          <w:sz w:val="24"/>
          <w:szCs w:val="24"/>
        </w:rPr>
      </w:pPr>
      <w:r w:rsidRPr="00932CB6">
        <w:rPr>
          <w:rFonts w:ascii="Times New Roman" w:eastAsia="Calibri" w:hAnsi="Times New Roman" w:cs="Times New Roman"/>
          <w:sz w:val="24"/>
          <w:szCs w:val="24"/>
        </w:rPr>
        <w:t>Correspondence concerning this article should be addressed to Reginald McKelvin.</w:t>
      </w:r>
    </w:p>
    <w:p w:rsidR="001251A9" w:rsidRPr="00932CB6" w:rsidRDefault="00A47BAE" w:rsidP="00932CB6">
      <w:pPr>
        <w:spacing w:after="0" w:line="480" w:lineRule="auto"/>
        <w:rPr>
          <w:rFonts w:ascii="Times New Roman" w:eastAsia="Calibri" w:hAnsi="Times New Roman" w:cs="Times New Roman"/>
          <w:sz w:val="24"/>
          <w:szCs w:val="24"/>
        </w:rPr>
      </w:pPr>
      <w:r w:rsidRPr="00932CB6">
        <w:rPr>
          <w:rFonts w:ascii="Times New Roman" w:eastAsia="Calibri" w:hAnsi="Times New Roman" w:cs="Times New Roman"/>
          <w:sz w:val="24"/>
          <w:szCs w:val="24"/>
        </w:rPr>
        <w:t xml:space="preserve">Email: </w:t>
      </w:r>
      <w:hyperlink r:id="rId7" w:history="1">
        <w:r w:rsidRPr="00932CB6">
          <w:rPr>
            <w:rStyle w:val="Hyperlink"/>
            <w:rFonts w:ascii="Times New Roman" w:eastAsia="Calibri" w:hAnsi="Times New Roman" w:cs="Times New Roman"/>
            <w:sz w:val="24"/>
            <w:szCs w:val="24"/>
          </w:rPr>
          <w:t>rmckelvin@liberty.edu</w:t>
        </w:r>
      </w:hyperlink>
    </w:p>
    <w:p w:rsidR="001251A9" w:rsidRPr="00932CB6" w:rsidRDefault="001251A9" w:rsidP="00932CB6">
      <w:pPr>
        <w:spacing w:line="480" w:lineRule="auto"/>
        <w:rPr>
          <w:rFonts w:ascii="Times New Roman" w:hAnsi="Times New Roman" w:cs="Times New Roman"/>
          <w:sz w:val="24"/>
          <w:szCs w:val="24"/>
        </w:rPr>
      </w:pPr>
    </w:p>
    <w:p w:rsidR="001251A9" w:rsidRPr="00932CB6" w:rsidRDefault="001251A9" w:rsidP="00932CB6">
      <w:pPr>
        <w:spacing w:line="480" w:lineRule="auto"/>
        <w:rPr>
          <w:rFonts w:ascii="Times New Roman" w:hAnsi="Times New Roman" w:cs="Times New Roman"/>
          <w:sz w:val="24"/>
          <w:szCs w:val="24"/>
        </w:rPr>
      </w:pPr>
    </w:p>
    <w:p w:rsidR="001251A9" w:rsidRPr="00932CB6" w:rsidRDefault="00A47BAE" w:rsidP="00932CB6">
      <w:pPr>
        <w:spacing w:line="480" w:lineRule="auto"/>
        <w:jc w:val="center"/>
        <w:rPr>
          <w:rFonts w:ascii="Times New Roman" w:hAnsi="Times New Roman" w:cs="Times New Roman"/>
          <w:sz w:val="24"/>
          <w:szCs w:val="24"/>
        </w:rPr>
      </w:pPr>
      <w:r w:rsidRPr="00932CB6">
        <w:rPr>
          <w:rFonts w:ascii="Times New Roman" w:hAnsi="Times New Roman" w:cs="Times New Roman"/>
          <w:sz w:val="24"/>
          <w:szCs w:val="24"/>
        </w:rPr>
        <w:br w:type="page"/>
      </w:r>
    </w:p>
    <w:p w:rsidR="001251A9" w:rsidRPr="00932CB6" w:rsidRDefault="00A47BAE" w:rsidP="00932CB6">
      <w:pPr>
        <w:spacing w:line="480" w:lineRule="auto"/>
        <w:jc w:val="center"/>
        <w:rPr>
          <w:rFonts w:ascii="Times New Roman" w:hAnsi="Times New Roman" w:cs="Times New Roman"/>
          <w:b/>
          <w:bCs/>
          <w:sz w:val="24"/>
          <w:szCs w:val="24"/>
        </w:rPr>
      </w:pPr>
      <w:r w:rsidRPr="00932CB6">
        <w:rPr>
          <w:rFonts w:ascii="Times New Roman" w:hAnsi="Times New Roman" w:cs="Times New Roman"/>
          <w:b/>
          <w:bCs/>
          <w:sz w:val="24"/>
          <w:szCs w:val="24"/>
        </w:rPr>
        <w:lastRenderedPageBreak/>
        <w:t>Discussion: Fostering Organizational Change through professional development</w:t>
      </w:r>
    </w:p>
    <w:p w:rsidR="0082081D" w:rsidRPr="00932CB6" w:rsidRDefault="00A47BAE" w:rsidP="00932CB6">
      <w:pPr>
        <w:spacing w:line="480" w:lineRule="auto"/>
        <w:ind w:firstLine="720"/>
        <w:rPr>
          <w:rFonts w:ascii="Times New Roman" w:hAnsi="Times New Roman" w:cs="Times New Roman"/>
          <w:bCs/>
          <w:sz w:val="24"/>
          <w:szCs w:val="24"/>
        </w:rPr>
      </w:pPr>
      <w:r w:rsidRPr="00932CB6">
        <w:rPr>
          <w:rFonts w:ascii="Times New Roman" w:hAnsi="Times New Roman" w:cs="Times New Roman"/>
          <w:bCs/>
          <w:sz w:val="24"/>
          <w:szCs w:val="24"/>
        </w:rPr>
        <w:t>Professional development involves engaging in continuous learning to gain more skills to become better and more efficient in their various roles. Professional development is essential in enhancing and fostering change in organizations. Based on the problem I identified in my educational institution, Conversational Connections is the ideal professional development strategy.  The conversational connections strategy involves having sessions that bring together diverse professionals from different education institutions (Bond &amp; Blevins, 2020). The strategy includes activities like facilitated discussions and sharing moments like lunch while engaging in constructive discussions.</w:t>
      </w:r>
    </w:p>
    <w:p w:rsidR="001251A9" w:rsidRPr="00932CB6" w:rsidRDefault="00A47BAE" w:rsidP="00932CB6">
      <w:pPr>
        <w:spacing w:line="480" w:lineRule="auto"/>
        <w:ind w:firstLine="720"/>
        <w:rPr>
          <w:rFonts w:ascii="Times New Roman" w:hAnsi="Times New Roman" w:cs="Times New Roman"/>
          <w:color w:val="222222"/>
          <w:sz w:val="24"/>
          <w:szCs w:val="24"/>
          <w:shd w:val="clear" w:color="auto" w:fill="FFFFFF"/>
        </w:rPr>
      </w:pPr>
      <w:r w:rsidRPr="00932CB6">
        <w:rPr>
          <w:rFonts w:ascii="Times New Roman" w:hAnsi="Times New Roman" w:cs="Times New Roman"/>
          <w:bCs/>
          <w:sz w:val="24"/>
          <w:szCs w:val="24"/>
        </w:rPr>
        <w:t>Educational Institutions need to address racism in schools. Racism is directed at individuals hailing from a particular racial group, and in most cases, the black race is on the receiving end</w:t>
      </w:r>
      <w:r w:rsidR="00172C17" w:rsidRPr="00932CB6">
        <w:rPr>
          <w:rFonts w:ascii="Times New Roman" w:hAnsi="Times New Roman" w:cs="Times New Roman"/>
          <w:bCs/>
          <w:sz w:val="24"/>
          <w:szCs w:val="24"/>
        </w:rPr>
        <w:t xml:space="preserve"> (Bartz, 2018)</w:t>
      </w:r>
      <w:r w:rsidRPr="00932CB6">
        <w:rPr>
          <w:rFonts w:ascii="Times New Roman" w:hAnsi="Times New Roman" w:cs="Times New Roman"/>
          <w:bCs/>
          <w:sz w:val="24"/>
          <w:szCs w:val="24"/>
        </w:rPr>
        <w:t>. Analysis established that racism stems from various sources; for instance, applying the structural lens analysis established that racism stems from d</w:t>
      </w:r>
      <w:r w:rsidR="00546C27" w:rsidRPr="00932CB6">
        <w:rPr>
          <w:rFonts w:ascii="Times New Roman" w:hAnsi="Times New Roman" w:cs="Times New Roman"/>
          <w:bCs/>
          <w:sz w:val="24"/>
          <w:szCs w:val="24"/>
        </w:rPr>
        <w:t>eeply engraved structural norms</w:t>
      </w:r>
      <w:r w:rsidRPr="00932CB6">
        <w:rPr>
          <w:rFonts w:ascii="Times New Roman" w:hAnsi="Times New Roman" w:cs="Times New Roman"/>
          <w:bCs/>
          <w:sz w:val="24"/>
          <w:szCs w:val="24"/>
        </w:rPr>
        <w:t xml:space="preserve"> in the society</w:t>
      </w:r>
      <w:r w:rsidR="00546C27" w:rsidRPr="00932CB6">
        <w:rPr>
          <w:rFonts w:ascii="Times New Roman" w:hAnsi="Times New Roman" w:cs="Times New Roman"/>
          <w:bCs/>
          <w:sz w:val="24"/>
          <w:szCs w:val="24"/>
        </w:rPr>
        <w:t xml:space="preserve"> that have existed for many years</w:t>
      </w:r>
      <w:r w:rsidRPr="00932CB6">
        <w:rPr>
          <w:rFonts w:ascii="Times New Roman" w:hAnsi="Times New Roman" w:cs="Times New Roman"/>
          <w:bCs/>
          <w:sz w:val="24"/>
          <w:szCs w:val="24"/>
        </w:rPr>
        <w:t>.</w:t>
      </w:r>
      <w:r w:rsidR="00546C27" w:rsidRPr="00932CB6">
        <w:rPr>
          <w:rFonts w:ascii="Times New Roman" w:hAnsi="Times New Roman" w:cs="Times New Roman"/>
          <w:bCs/>
          <w:sz w:val="24"/>
          <w:szCs w:val="24"/>
        </w:rPr>
        <w:t xml:space="preserve"> Cultural lens analysis established that racism stems from unawareness and insensitivity to different cultures. Racism is engraved deeply in various systems like the education systems and political institutions in society</w:t>
      </w:r>
      <w:r w:rsidR="00172C17" w:rsidRPr="00932CB6">
        <w:rPr>
          <w:rFonts w:ascii="Times New Roman" w:hAnsi="Times New Roman" w:cs="Times New Roman"/>
          <w:bCs/>
          <w:sz w:val="24"/>
          <w:szCs w:val="24"/>
        </w:rPr>
        <w:t>. Embracing diversity and being sensitive to the different cultures is the solution to solving racisms in society (</w:t>
      </w:r>
      <w:r w:rsidR="00172C17" w:rsidRPr="00932CB6">
        <w:rPr>
          <w:rFonts w:ascii="Times New Roman" w:hAnsi="Times New Roman" w:cs="Times New Roman"/>
          <w:color w:val="222222"/>
          <w:sz w:val="24"/>
          <w:szCs w:val="24"/>
          <w:shd w:val="clear" w:color="auto" w:fill="FFFFFF"/>
        </w:rPr>
        <w:t>Marchand et al., 2019).</w:t>
      </w:r>
    </w:p>
    <w:p w:rsidR="00172C17" w:rsidRPr="00932CB6" w:rsidRDefault="00A47BAE" w:rsidP="00932CB6">
      <w:pPr>
        <w:spacing w:line="480" w:lineRule="auto"/>
        <w:ind w:firstLine="720"/>
        <w:rPr>
          <w:rFonts w:ascii="Times New Roman" w:hAnsi="Times New Roman" w:cs="Times New Roman"/>
          <w:color w:val="222222"/>
          <w:sz w:val="24"/>
          <w:szCs w:val="24"/>
          <w:shd w:val="clear" w:color="auto" w:fill="FFFFFF"/>
        </w:rPr>
      </w:pPr>
      <w:r w:rsidRPr="00932CB6">
        <w:rPr>
          <w:rFonts w:ascii="Times New Roman" w:hAnsi="Times New Roman" w:cs="Times New Roman"/>
          <w:color w:val="222222"/>
          <w:sz w:val="24"/>
          <w:szCs w:val="24"/>
          <w:shd w:val="clear" w:color="auto" w:fill="FFFFFF"/>
        </w:rPr>
        <w:t xml:space="preserve">The conversational connections strategy will provide an excellent opportunity to embrace different cultures and enhance cultural sensitivity among different people in the school setting. A facilitated discussion with different people from the entire school encourages discussions on the issues affecting the institutions and the development of solutions. The act of bringing together people hailing from different racial groups into one setting enhances cultural sensitivity. </w:t>
      </w:r>
      <w:r w:rsidR="0027278A" w:rsidRPr="00932CB6">
        <w:rPr>
          <w:rFonts w:ascii="Times New Roman" w:hAnsi="Times New Roman" w:cs="Times New Roman"/>
          <w:color w:val="222222"/>
          <w:sz w:val="24"/>
          <w:szCs w:val="24"/>
          <w:shd w:val="clear" w:color="auto" w:fill="FFFFFF"/>
        </w:rPr>
        <w:t>Providing</w:t>
      </w:r>
      <w:r w:rsidRPr="00932CB6">
        <w:rPr>
          <w:rFonts w:ascii="Times New Roman" w:hAnsi="Times New Roman" w:cs="Times New Roman"/>
          <w:color w:val="222222"/>
          <w:sz w:val="24"/>
          <w:szCs w:val="24"/>
          <w:shd w:val="clear" w:color="auto" w:fill="FFFFFF"/>
        </w:rPr>
        <w:t xml:space="preserve"> an environment or a setting that brings </w:t>
      </w:r>
      <w:r w:rsidRPr="00932CB6">
        <w:rPr>
          <w:rFonts w:ascii="Times New Roman" w:hAnsi="Times New Roman" w:cs="Times New Roman"/>
          <w:color w:val="222222"/>
          <w:sz w:val="24"/>
          <w:szCs w:val="24"/>
          <w:shd w:val="clear" w:color="auto" w:fill="FFFFFF"/>
        </w:rPr>
        <w:lastRenderedPageBreak/>
        <w:t xml:space="preserve">together different people enhances togetherness. It fosters </w:t>
      </w:r>
      <w:r w:rsidR="0027278A" w:rsidRPr="00932CB6">
        <w:rPr>
          <w:rFonts w:ascii="Times New Roman" w:hAnsi="Times New Roman" w:cs="Times New Roman"/>
          <w:color w:val="222222"/>
          <w:sz w:val="24"/>
          <w:szCs w:val="24"/>
          <w:shd w:val="clear" w:color="auto" w:fill="FFFFFF"/>
        </w:rPr>
        <w:t>acceptance of all races and cultures in the school setting and eventually fosters organizational change and approach.</w:t>
      </w:r>
    </w:p>
    <w:p w:rsidR="00172C17" w:rsidRPr="00932CB6" w:rsidRDefault="00A47BAE" w:rsidP="00932CB6">
      <w:pPr>
        <w:spacing w:line="480" w:lineRule="auto"/>
        <w:ind w:firstLine="720"/>
        <w:rPr>
          <w:rFonts w:ascii="Times New Roman" w:hAnsi="Times New Roman" w:cs="Times New Roman"/>
          <w:color w:val="222222"/>
          <w:sz w:val="24"/>
          <w:szCs w:val="24"/>
          <w:shd w:val="clear" w:color="auto" w:fill="FFFFFF"/>
        </w:rPr>
      </w:pPr>
      <w:r w:rsidRPr="00932CB6">
        <w:rPr>
          <w:rFonts w:ascii="Times New Roman" w:hAnsi="Times New Roman" w:cs="Times New Roman"/>
          <w:color w:val="222222"/>
          <w:sz w:val="24"/>
          <w:szCs w:val="24"/>
          <w:shd w:val="clear" w:color="auto" w:fill="FFFFFF"/>
        </w:rPr>
        <w:t xml:space="preserve">The strategy also involves having a Lunch and learn program. The lunch and learn program involves individuals coming together with their lunch bags and engage in constructive discussions. Bringing together people hailing from different racial and cultural groups with each with their brown bag encourages discussions on various cultures and races, including their traditions, including their meals, creating a framework for understanding the various cultures and races. Understanding various cultures and their approach to life enhances cultural sensitivity and reduces racism, a recipe for organizational change and development. Professional development is an excellent way of solving racism in schools across the world, and conversational connection strategy enhances the process of dealing with racism, eventually leading to organizational change. </w:t>
      </w:r>
    </w:p>
    <w:p w:rsidR="00172C17" w:rsidRPr="00932CB6" w:rsidRDefault="00A47BAE" w:rsidP="00932CB6">
      <w:pPr>
        <w:spacing w:line="480" w:lineRule="auto"/>
        <w:jc w:val="center"/>
        <w:rPr>
          <w:rFonts w:ascii="Times New Roman" w:hAnsi="Times New Roman" w:cs="Times New Roman"/>
          <w:b/>
          <w:bCs/>
          <w:sz w:val="24"/>
          <w:szCs w:val="24"/>
        </w:rPr>
      </w:pPr>
      <w:r w:rsidRPr="00932CB6">
        <w:rPr>
          <w:rFonts w:ascii="Times New Roman" w:hAnsi="Times New Roman" w:cs="Times New Roman"/>
          <w:b/>
          <w:bCs/>
          <w:sz w:val="24"/>
          <w:szCs w:val="24"/>
        </w:rPr>
        <w:t>References</w:t>
      </w:r>
    </w:p>
    <w:p w:rsidR="00172C17" w:rsidRPr="00932CB6" w:rsidRDefault="00A47BAE" w:rsidP="00932CB6">
      <w:pPr>
        <w:spacing w:line="480" w:lineRule="auto"/>
        <w:ind w:left="720" w:hanging="720"/>
        <w:rPr>
          <w:rFonts w:ascii="Times New Roman" w:hAnsi="Times New Roman" w:cs="Times New Roman"/>
          <w:color w:val="222222"/>
          <w:sz w:val="24"/>
          <w:szCs w:val="24"/>
          <w:shd w:val="clear" w:color="auto" w:fill="FFFFFF"/>
        </w:rPr>
      </w:pPr>
      <w:r w:rsidRPr="00932CB6">
        <w:rPr>
          <w:rFonts w:ascii="Times New Roman" w:hAnsi="Times New Roman" w:cs="Times New Roman"/>
          <w:color w:val="222222"/>
          <w:sz w:val="24"/>
          <w:szCs w:val="24"/>
          <w:shd w:val="clear" w:color="auto" w:fill="FFFFFF"/>
        </w:rPr>
        <w:t>Bartz, D. E. (2018, January). Racism--The Enemy of Diversity in PreK-12 Schools. In </w:t>
      </w:r>
      <w:r w:rsidRPr="00932CB6">
        <w:rPr>
          <w:rFonts w:ascii="Times New Roman" w:hAnsi="Times New Roman" w:cs="Times New Roman"/>
          <w:i/>
          <w:iCs/>
          <w:color w:val="222222"/>
          <w:sz w:val="24"/>
          <w:szCs w:val="24"/>
          <w:shd w:val="clear" w:color="auto" w:fill="FFFFFF"/>
        </w:rPr>
        <w:t>National Forum of Teacher Education Journal</w:t>
      </w:r>
      <w:r w:rsidRPr="00932CB6">
        <w:rPr>
          <w:rFonts w:ascii="Times New Roman" w:hAnsi="Times New Roman" w:cs="Times New Roman"/>
          <w:color w:val="222222"/>
          <w:sz w:val="24"/>
          <w:szCs w:val="24"/>
          <w:shd w:val="clear" w:color="auto" w:fill="FFFFFF"/>
        </w:rPr>
        <w:t> (Vol. 28, No. 3).</w:t>
      </w:r>
    </w:p>
    <w:p w:rsidR="0082081D" w:rsidRPr="00932CB6" w:rsidRDefault="00A47BAE" w:rsidP="00932CB6">
      <w:pPr>
        <w:spacing w:line="480" w:lineRule="auto"/>
        <w:ind w:left="720" w:hanging="720"/>
        <w:rPr>
          <w:rFonts w:ascii="Times New Roman" w:hAnsi="Times New Roman" w:cs="Times New Roman"/>
          <w:color w:val="222222"/>
          <w:sz w:val="24"/>
          <w:szCs w:val="24"/>
          <w:shd w:val="clear" w:color="auto" w:fill="FFFFFF"/>
        </w:rPr>
      </w:pPr>
      <w:r w:rsidRPr="00932CB6">
        <w:rPr>
          <w:rFonts w:ascii="Times New Roman" w:hAnsi="Times New Roman" w:cs="Times New Roman"/>
          <w:color w:val="222222"/>
          <w:sz w:val="24"/>
          <w:szCs w:val="24"/>
          <w:shd w:val="clear" w:color="auto" w:fill="FFFFFF"/>
        </w:rPr>
        <w:t>Marchand, A. D., Vassar, R. R., Diemer, M. A., &amp; Rowley, S. J. (2019). Integrating race, racism, and critical consciousness in black parents' engagement with schools. </w:t>
      </w:r>
      <w:r w:rsidRPr="00932CB6">
        <w:rPr>
          <w:rFonts w:ascii="Times New Roman" w:hAnsi="Times New Roman" w:cs="Times New Roman"/>
          <w:i/>
          <w:iCs/>
          <w:color w:val="222222"/>
          <w:sz w:val="24"/>
          <w:szCs w:val="24"/>
          <w:shd w:val="clear" w:color="auto" w:fill="FFFFFF"/>
        </w:rPr>
        <w:t>Journal of Family Theory &amp; Review</w:t>
      </w:r>
      <w:r w:rsidRPr="00932CB6">
        <w:rPr>
          <w:rFonts w:ascii="Times New Roman" w:hAnsi="Times New Roman" w:cs="Times New Roman"/>
          <w:color w:val="222222"/>
          <w:sz w:val="24"/>
          <w:szCs w:val="24"/>
          <w:shd w:val="clear" w:color="auto" w:fill="FFFFFF"/>
        </w:rPr>
        <w:t>, </w:t>
      </w:r>
      <w:r w:rsidRPr="00932CB6">
        <w:rPr>
          <w:rFonts w:ascii="Times New Roman" w:hAnsi="Times New Roman" w:cs="Times New Roman"/>
          <w:i/>
          <w:iCs/>
          <w:color w:val="222222"/>
          <w:sz w:val="24"/>
          <w:szCs w:val="24"/>
          <w:shd w:val="clear" w:color="auto" w:fill="FFFFFF"/>
        </w:rPr>
        <w:t>11</w:t>
      </w:r>
      <w:r w:rsidRPr="00932CB6">
        <w:rPr>
          <w:rFonts w:ascii="Times New Roman" w:hAnsi="Times New Roman" w:cs="Times New Roman"/>
          <w:color w:val="222222"/>
          <w:sz w:val="24"/>
          <w:szCs w:val="24"/>
          <w:shd w:val="clear" w:color="auto" w:fill="FFFFFF"/>
        </w:rPr>
        <w:t>(3), 367-384.</w:t>
      </w:r>
    </w:p>
    <w:p w:rsidR="0082081D" w:rsidRPr="00932CB6" w:rsidRDefault="00A47BAE" w:rsidP="00932CB6">
      <w:pPr>
        <w:spacing w:after="0" w:line="480" w:lineRule="auto"/>
        <w:ind w:left="720" w:hanging="720"/>
        <w:rPr>
          <w:rFonts w:ascii="Times New Roman" w:hAnsi="Times New Roman" w:cs="Times New Roman"/>
          <w:color w:val="222222"/>
          <w:sz w:val="24"/>
          <w:szCs w:val="24"/>
          <w:shd w:val="clear" w:color="auto" w:fill="FFFFFF"/>
        </w:rPr>
      </w:pPr>
      <w:r w:rsidRPr="00932CB6">
        <w:rPr>
          <w:rFonts w:ascii="Times New Roman" w:hAnsi="Times New Roman" w:cs="Times New Roman"/>
          <w:b/>
          <w:bCs/>
          <w:sz w:val="24"/>
          <w:szCs w:val="24"/>
        </w:rPr>
        <w:t xml:space="preserve"> </w:t>
      </w:r>
      <w:r w:rsidRPr="00932CB6">
        <w:rPr>
          <w:rFonts w:ascii="Times New Roman" w:hAnsi="Times New Roman" w:cs="Times New Roman"/>
          <w:color w:val="222222"/>
          <w:sz w:val="24"/>
          <w:szCs w:val="24"/>
          <w:shd w:val="clear" w:color="auto" w:fill="FFFFFF"/>
        </w:rPr>
        <w:t>Bond, M. A., &amp; Blevins, S. J. (2020). Using faculty professional development to foster organizational change: A social learning framework. </w:t>
      </w:r>
      <w:r w:rsidRPr="00932CB6">
        <w:rPr>
          <w:rFonts w:ascii="Times New Roman" w:hAnsi="Times New Roman" w:cs="Times New Roman"/>
          <w:i/>
          <w:iCs/>
          <w:color w:val="222222"/>
          <w:sz w:val="24"/>
          <w:szCs w:val="24"/>
          <w:shd w:val="clear" w:color="auto" w:fill="FFFFFF"/>
        </w:rPr>
        <w:t>TechTrends</w:t>
      </w:r>
      <w:r w:rsidRPr="00932CB6">
        <w:rPr>
          <w:rFonts w:ascii="Times New Roman" w:hAnsi="Times New Roman" w:cs="Times New Roman"/>
          <w:color w:val="222222"/>
          <w:sz w:val="24"/>
          <w:szCs w:val="24"/>
          <w:shd w:val="clear" w:color="auto" w:fill="FFFFFF"/>
        </w:rPr>
        <w:t>, </w:t>
      </w:r>
      <w:r w:rsidRPr="00932CB6">
        <w:rPr>
          <w:rFonts w:ascii="Times New Roman" w:hAnsi="Times New Roman" w:cs="Times New Roman"/>
          <w:i/>
          <w:iCs/>
          <w:color w:val="222222"/>
          <w:sz w:val="24"/>
          <w:szCs w:val="24"/>
          <w:shd w:val="clear" w:color="auto" w:fill="FFFFFF"/>
        </w:rPr>
        <w:t>64</w:t>
      </w:r>
      <w:r w:rsidRPr="00932CB6">
        <w:rPr>
          <w:rFonts w:ascii="Times New Roman" w:hAnsi="Times New Roman" w:cs="Times New Roman"/>
          <w:color w:val="222222"/>
          <w:sz w:val="24"/>
          <w:szCs w:val="24"/>
          <w:shd w:val="clear" w:color="auto" w:fill="FFFFFF"/>
        </w:rPr>
        <w:t>(2), 229-237.</w:t>
      </w:r>
      <w:r w:rsidRPr="00932CB6">
        <w:rPr>
          <w:rFonts w:ascii="Times New Roman" w:hAnsi="Times New Roman" w:cs="Times New Roman"/>
          <w:sz w:val="24"/>
          <w:szCs w:val="24"/>
        </w:rPr>
        <w:t xml:space="preserve"> </w:t>
      </w:r>
      <w:hyperlink r:id="rId8" w:history="1">
        <w:r w:rsidR="0027278A" w:rsidRPr="00932CB6">
          <w:rPr>
            <w:rStyle w:val="Hyperlink"/>
            <w:rFonts w:ascii="Times New Roman" w:hAnsi="Times New Roman" w:cs="Times New Roman"/>
            <w:sz w:val="24"/>
            <w:szCs w:val="24"/>
            <w:shd w:val="clear" w:color="auto" w:fill="FFFFFF"/>
          </w:rPr>
          <w:t>https://link.springer.com/article/10.1007/s11528-019-00459-2</w:t>
        </w:r>
      </w:hyperlink>
    </w:p>
    <w:p w:rsidR="0027278A" w:rsidRPr="00932CB6" w:rsidRDefault="0027278A" w:rsidP="00932CB6">
      <w:pPr>
        <w:spacing w:after="0" w:line="480" w:lineRule="auto"/>
        <w:ind w:left="720" w:hanging="720"/>
        <w:rPr>
          <w:rFonts w:ascii="Times New Roman" w:hAnsi="Times New Roman" w:cs="Times New Roman"/>
          <w:color w:val="222222"/>
          <w:sz w:val="24"/>
          <w:szCs w:val="24"/>
          <w:shd w:val="clear" w:color="auto" w:fill="FFFFFF"/>
        </w:rPr>
      </w:pPr>
    </w:p>
    <w:p w:rsidR="0027278A" w:rsidRPr="00932CB6" w:rsidRDefault="0027278A" w:rsidP="00932CB6">
      <w:pPr>
        <w:spacing w:after="0" w:line="480" w:lineRule="auto"/>
        <w:ind w:left="720" w:hanging="720"/>
        <w:rPr>
          <w:rFonts w:ascii="Times New Roman" w:hAnsi="Times New Roman" w:cs="Times New Roman"/>
          <w:color w:val="222222"/>
          <w:sz w:val="24"/>
          <w:szCs w:val="24"/>
          <w:shd w:val="clear" w:color="auto" w:fill="FFFFFF"/>
        </w:rPr>
      </w:pPr>
    </w:p>
    <w:p w:rsidR="00D5373A" w:rsidRDefault="00D5373A" w:rsidP="00932CB6">
      <w:pPr>
        <w:spacing w:after="0" w:line="480" w:lineRule="auto"/>
        <w:ind w:left="720" w:hanging="720"/>
        <w:jc w:val="center"/>
        <w:rPr>
          <w:rFonts w:ascii="Times New Roman" w:hAnsi="Times New Roman" w:cs="Times New Roman"/>
          <w:b/>
          <w:color w:val="222222"/>
          <w:sz w:val="24"/>
          <w:szCs w:val="24"/>
          <w:shd w:val="clear" w:color="auto" w:fill="FFFFFF"/>
        </w:rPr>
      </w:pPr>
    </w:p>
    <w:p w:rsidR="0027278A" w:rsidRPr="00932CB6" w:rsidRDefault="00A47BAE" w:rsidP="00932CB6">
      <w:pPr>
        <w:spacing w:after="0" w:line="480" w:lineRule="auto"/>
        <w:ind w:left="720" w:hanging="720"/>
        <w:jc w:val="center"/>
        <w:rPr>
          <w:rFonts w:ascii="Times New Roman" w:hAnsi="Times New Roman" w:cs="Times New Roman"/>
          <w:b/>
          <w:color w:val="222222"/>
          <w:sz w:val="24"/>
          <w:szCs w:val="24"/>
          <w:shd w:val="clear" w:color="auto" w:fill="FFFFFF"/>
        </w:rPr>
      </w:pPr>
      <w:r w:rsidRPr="00932CB6">
        <w:rPr>
          <w:rFonts w:ascii="Times New Roman" w:hAnsi="Times New Roman" w:cs="Times New Roman"/>
          <w:b/>
          <w:color w:val="222222"/>
          <w:sz w:val="24"/>
          <w:szCs w:val="24"/>
          <w:shd w:val="clear" w:color="auto" w:fill="FFFFFF"/>
        </w:rPr>
        <w:lastRenderedPageBreak/>
        <w:t>First Response</w:t>
      </w:r>
    </w:p>
    <w:p w:rsidR="001251A9" w:rsidRPr="00932CB6" w:rsidRDefault="00A47BAE" w:rsidP="00932CB6">
      <w:pPr>
        <w:spacing w:line="480" w:lineRule="auto"/>
        <w:ind w:firstLine="720"/>
        <w:rPr>
          <w:rFonts w:ascii="Times New Roman" w:hAnsi="Times New Roman" w:cs="Times New Roman"/>
          <w:sz w:val="24"/>
          <w:szCs w:val="24"/>
        </w:rPr>
      </w:pPr>
      <w:r w:rsidRPr="00932CB6">
        <w:rPr>
          <w:rFonts w:ascii="Times New Roman" w:hAnsi="Times New Roman" w:cs="Times New Roman"/>
          <w:sz w:val="24"/>
          <w:szCs w:val="24"/>
        </w:rPr>
        <w:t>The mentorship opportunities strategy is an ideal approach to professional development that fosters organizational change. Mentorship is essential for all professionals, including those in administration, since every individual, despite their professional level, requires continuous growth and development. Both formal and informal mentorship programs effectively enhance professional development</w:t>
      </w:r>
      <w:r w:rsidR="00B82439" w:rsidRPr="00932CB6">
        <w:rPr>
          <w:rFonts w:ascii="Times New Roman" w:hAnsi="Times New Roman" w:cs="Times New Roman"/>
          <w:sz w:val="24"/>
          <w:szCs w:val="24"/>
        </w:rPr>
        <w:t xml:space="preserve"> (Bond &amp; Blevins, 2020)</w:t>
      </w:r>
      <w:r w:rsidRPr="00932CB6">
        <w:rPr>
          <w:rFonts w:ascii="Times New Roman" w:hAnsi="Times New Roman" w:cs="Times New Roman"/>
          <w:sz w:val="24"/>
          <w:szCs w:val="24"/>
        </w:rPr>
        <w:t>.  They can be essential in solving management issues like the top-down approach, where management imposes all decisions in the institutions. Having all, includ</w:t>
      </w:r>
      <w:r w:rsidR="009D6507" w:rsidRPr="00932CB6">
        <w:rPr>
          <w:rFonts w:ascii="Times New Roman" w:hAnsi="Times New Roman" w:cs="Times New Roman"/>
          <w:sz w:val="24"/>
          <w:szCs w:val="24"/>
        </w:rPr>
        <w:t>ing the school</w:t>
      </w:r>
      <w:r w:rsidRPr="00932CB6">
        <w:rPr>
          <w:rFonts w:ascii="Times New Roman" w:hAnsi="Times New Roman" w:cs="Times New Roman"/>
          <w:sz w:val="24"/>
          <w:szCs w:val="24"/>
        </w:rPr>
        <w:t xml:space="preserve"> management, getting involved in mentorship circles </w:t>
      </w:r>
      <w:r w:rsidR="009D6507" w:rsidRPr="00932CB6">
        <w:rPr>
          <w:rFonts w:ascii="Times New Roman" w:hAnsi="Times New Roman" w:cs="Times New Roman"/>
          <w:sz w:val="24"/>
          <w:szCs w:val="24"/>
        </w:rPr>
        <w:t>enhances relationships that encourage all decision-making involvement. The school management is also able to understand and listen to the views of its employees. However, as you have stated mentorship opportunities strategy alone is not sufficient to address the problem. A combination of several strategies is essential to addres</w:t>
      </w:r>
      <w:r w:rsidR="00B82439" w:rsidRPr="00932CB6">
        <w:rPr>
          <w:rFonts w:ascii="Times New Roman" w:hAnsi="Times New Roman" w:cs="Times New Roman"/>
          <w:sz w:val="24"/>
          <w:szCs w:val="24"/>
        </w:rPr>
        <w:t>s the top-down management issue that affects the overall performance and effectiveness of the organization</w:t>
      </w:r>
      <w:r w:rsidR="009D6507" w:rsidRPr="00932CB6">
        <w:rPr>
          <w:rFonts w:ascii="Times New Roman" w:hAnsi="Times New Roman" w:cs="Times New Roman"/>
          <w:sz w:val="24"/>
          <w:szCs w:val="24"/>
        </w:rPr>
        <w:t xml:space="preserve">. Conversational connections and communities of Practice strategies are essential in professional development and, when combined with mentorship, opportunities will solve the top-down management problem and enhance organizational change.  </w:t>
      </w:r>
    </w:p>
    <w:p w:rsidR="00B82439" w:rsidRPr="00932CB6" w:rsidRDefault="00A47BAE" w:rsidP="00932CB6">
      <w:pPr>
        <w:spacing w:line="480" w:lineRule="auto"/>
        <w:jc w:val="center"/>
        <w:rPr>
          <w:rFonts w:ascii="Times New Roman" w:hAnsi="Times New Roman" w:cs="Times New Roman"/>
          <w:b/>
          <w:sz w:val="24"/>
          <w:szCs w:val="24"/>
        </w:rPr>
      </w:pPr>
      <w:r w:rsidRPr="00932CB6">
        <w:rPr>
          <w:rFonts w:ascii="Times New Roman" w:hAnsi="Times New Roman" w:cs="Times New Roman"/>
          <w:b/>
          <w:sz w:val="24"/>
          <w:szCs w:val="24"/>
        </w:rPr>
        <w:t>Reference</w:t>
      </w:r>
    </w:p>
    <w:p w:rsidR="00B82439" w:rsidRPr="00932CB6" w:rsidRDefault="00A47BAE" w:rsidP="00932CB6">
      <w:pPr>
        <w:spacing w:after="0" w:line="480" w:lineRule="auto"/>
        <w:ind w:left="720" w:hanging="720"/>
        <w:rPr>
          <w:rFonts w:ascii="Times New Roman" w:hAnsi="Times New Roman" w:cs="Times New Roman"/>
          <w:color w:val="222222"/>
          <w:sz w:val="24"/>
          <w:szCs w:val="24"/>
          <w:shd w:val="clear" w:color="auto" w:fill="FFFFFF"/>
        </w:rPr>
      </w:pPr>
      <w:r w:rsidRPr="00932CB6">
        <w:rPr>
          <w:rFonts w:ascii="Times New Roman" w:hAnsi="Times New Roman" w:cs="Times New Roman"/>
          <w:color w:val="222222"/>
          <w:sz w:val="24"/>
          <w:szCs w:val="24"/>
          <w:shd w:val="clear" w:color="auto" w:fill="FFFFFF"/>
        </w:rPr>
        <w:t>Bond, M. A., &amp; Blevins, S. J. (2020). Using faculty professional development to foster organizational change: A social learning framework. </w:t>
      </w:r>
      <w:r w:rsidRPr="00932CB6">
        <w:rPr>
          <w:rFonts w:ascii="Times New Roman" w:hAnsi="Times New Roman" w:cs="Times New Roman"/>
          <w:i/>
          <w:iCs/>
          <w:color w:val="222222"/>
          <w:sz w:val="24"/>
          <w:szCs w:val="24"/>
          <w:shd w:val="clear" w:color="auto" w:fill="FFFFFF"/>
        </w:rPr>
        <w:t>TechTrends</w:t>
      </w:r>
      <w:r w:rsidRPr="00932CB6">
        <w:rPr>
          <w:rFonts w:ascii="Times New Roman" w:hAnsi="Times New Roman" w:cs="Times New Roman"/>
          <w:color w:val="222222"/>
          <w:sz w:val="24"/>
          <w:szCs w:val="24"/>
          <w:shd w:val="clear" w:color="auto" w:fill="FFFFFF"/>
        </w:rPr>
        <w:t>, </w:t>
      </w:r>
      <w:r w:rsidRPr="00932CB6">
        <w:rPr>
          <w:rFonts w:ascii="Times New Roman" w:hAnsi="Times New Roman" w:cs="Times New Roman"/>
          <w:i/>
          <w:iCs/>
          <w:color w:val="222222"/>
          <w:sz w:val="24"/>
          <w:szCs w:val="24"/>
          <w:shd w:val="clear" w:color="auto" w:fill="FFFFFF"/>
        </w:rPr>
        <w:t>64</w:t>
      </w:r>
      <w:r w:rsidRPr="00932CB6">
        <w:rPr>
          <w:rFonts w:ascii="Times New Roman" w:hAnsi="Times New Roman" w:cs="Times New Roman"/>
          <w:color w:val="222222"/>
          <w:sz w:val="24"/>
          <w:szCs w:val="24"/>
          <w:shd w:val="clear" w:color="auto" w:fill="FFFFFF"/>
        </w:rPr>
        <w:t>(2), 229-237.</w:t>
      </w:r>
      <w:r w:rsidRPr="00932CB6">
        <w:rPr>
          <w:rFonts w:ascii="Times New Roman" w:hAnsi="Times New Roman" w:cs="Times New Roman"/>
          <w:sz w:val="24"/>
          <w:szCs w:val="24"/>
        </w:rPr>
        <w:t xml:space="preserve"> </w:t>
      </w:r>
      <w:hyperlink r:id="rId9" w:history="1">
        <w:r w:rsidRPr="00932CB6">
          <w:rPr>
            <w:rStyle w:val="Hyperlink"/>
            <w:rFonts w:ascii="Times New Roman" w:hAnsi="Times New Roman" w:cs="Times New Roman"/>
            <w:sz w:val="24"/>
            <w:szCs w:val="24"/>
            <w:shd w:val="clear" w:color="auto" w:fill="FFFFFF"/>
          </w:rPr>
          <w:t>https://link.springer.com/article/10.1007/s11528-019-00459-2</w:t>
        </w:r>
      </w:hyperlink>
    </w:p>
    <w:p w:rsidR="00B82439" w:rsidRPr="00932CB6" w:rsidRDefault="00B82439" w:rsidP="00932CB6">
      <w:pPr>
        <w:spacing w:line="480" w:lineRule="auto"/>
        <w:rPr>
          <w:rFonts w:ascii="Times New Roman" w:hAnsi="Times New Roman" w:cs="Times New Roman"/>
          <w:sz w:val="24"/>
          <w:szCs w:val="24"/>
        </w:rPr>
      </w:pPr>
    </w:p>
    <w:p w:rsidR="00B82439" w:rsidRPr="00932CB6" w:rsidRDefault="00B82439" w:rsidP="00932CB6">
      <w:pPr>
        <w:spacing w:line="480" w:lineRule="auto"/>
        <w:rPr>
          <w:rFonts w:ascii="Times New Roman" w:hAnsi="Times New Roman" w:cs="Times New Roman"/>
          <w:sz w:val="24"/>
          <w:szCs w:val="24"/>
        </w:rPr>
      </w:pPr>
    </w:p>
    <w:p w:rsidR="001251A9" w:rsidRPr="00932CB6" w:rsidRDefault="001251A9" w:rsidP="00932CB6">
      <w:pPr>
        <w:spacing w:line="480" w:lineRule="auto"/>
        <w:rPr>
          <w:rFonts w:ascii="Times New Roman" w:hAnsi="Times New Roman" w:cs="Times New Roman"/>
          <w:color w:val="222222"/>
          <w:sz w:val="24"/>
          <w:szCs w:val="24"/>
          <w:shd w:val="clear" w:color="auto" w:fill="FFFFFF"/>
        </w:rPr>
      </w:pPr>
    </w:p>
    <w:p w:rsidR="002A2386" w:rsidRPr="00932CB6" w:rsidRDefault="00A47BAE" w:rsidP="00932CB6">
      <w:pPr>
        <w:spacing w:line="480" w:lineRule="auto"/>
        <w:jc w:val="center"/>
        <w:rPr>
          <w:rFonts w:ascii="Times New Roman" w:hAnsi="Times New Roman" w:cs="Times New Roman"/>
          <w:b/>
          <w:sz w:val="24"/>
          <w:szCs w:val="24"/>
        </w:rPr>
      </w:pPr>
      <w:r w:rsidRPr="00932CB6">
        <w:rPr>
          <w:rFonts w:ascii="Times New Roman" w:hAnsi="Times New Roman" w:cs="Times New Roman"/>
          <w:b/>
          <w:sz w:val="24"/>
          <w:szCs w:val="24"/>
        </w:rPr>
        <w:t>Second Response</w:t>
      </w:r>
    </w:p>
    <w:p w:rsidR="00B82439" w:rsidRPr="00932CB6" w:rsidRDefault="00A47BAE" w:rsidP="00932CB6">
      <w:pPr>
        <w:spacing w:line="480" w:lineRule="auto"/>
        <w:ind w:firstLine="720"/>
        <w:rPr>
          <w:rFonts w:ascii="Times New Roman" w:hAnsi="Times New Roman" w:cs="Times New Roman"/>
          <w:sz w:val="24"/>
          <w:szCs w:val="24"/>
        </w:rPr>
      </w:pPr>
      <w:r w:rsidRPr="00932CB6">
        <w:rPr>
          <w:rFonts w:ascii="Times New Roman" w:hAnsi="Times New Roman" w:cs="Times New Roman"/>
          <w:sz w:val="24"/>
          <w:szCs w:val="24"/>
        </w:rPr>
        <w:lastRenderedPageBreak/>
        <w:t xml:space="preserve">I agree with you that professional development is very vital in fostering organizational change. The four strategies provided by Bond &amp; Blevins (2020) in their article entitled </w:t>
      </w:r>
      <w:r w:rsidRPr="00932CB6">
        <w:rPr>
          <w:rStyle w:val="HeaderChar"/>
          <w:rFonts w:ascii="Times New Roman" w:hAnsi="Times New Roman" w:cs="Times New Roman"/>
          <w:i/>
          <w:sz w:val="24"/>
          <w:szCs w:val="24"/>
        </w:rPr>
        <w:t>Using faculty professional development to foster organizational change: A social learning framework</w:t>
      </w:r>
      <w:r w:rsidRPr="00932CB6">
        <w:rPr>
          <w:rStyle w:val="HeaderChar"/>
          <w:rFonts w:ascii="Times New Roman" w:hAnsi="Times New Roman" w:cs="Times New Roman"/>
          <w:sz w:val="24"/>
          <w:szCs w:val="24"/>
        </w:rPr>
        <w:t xml:space="preserve"> </w:t>
      </w:r>
      <w:r w:rsidRPr="00932CB6">
        <w:rPr>
          <w:rFonts w:ascii="Times New Roman" w:hAnsi="Times New Roman" w:cs="Times New Roman"/>
          <w:sz w:val="24"/>
          <w:szCs w:val="24"/>
        </w:rPr>
        <w:t xml:space="preserve">should be employed as a combination to enhance effectiveness and efficiency. Every institution, including learning institutions, experiences various challenges; however, the problem you identified of a teacher failing to follow protocols and overstepping authority </w:t>
      </w:r>
      <w:r w:rsidR="00523FFB" w:rsidRPr="00932CB6">
        <w:rPr>
          <w:rFonts w:ascii="Times New Roman" w:hAnsi="Times New Roman" w:cs="Times New Roman"/>
          <w:sz w:val="24"/>
          <w:szCs w:val="24"/>
        </w:rPr>
        <w:t>significantly</w:t>
      </w:r>
      <w:r w:rsidRPr="00932CB6">
        <w:rPr>
          <w:rFonts w:ascii="Times New Roman" w:hAnsi="Times New Roman" w:cs="Times New Roman"/>
          <w:sz w:val="24"/>
          <w:szCs w:val="24"/>
        </w:rPr>
        <w:t xml:space="preserve"> affects any </w:t>
      </w:r>
      <w:r w:rsidR="00523FFB" w:rsidRPr="00932CB6">
        <w:rPr>
          <w:rFonts w:ascii="Times New Roman" w:hAnsi="Times New Roman" w:cs="Times New Roman"/>
          <w:sz w:val="24"/>
          <w:szCs w:val="24"/>
        </w:rPr>
        <w:t xml:space="preserve">initiatives towards professional development. The problem leads to insubordination and inefficiency, leading to a lack of effectiveness in the school. Learning communities and Communities of practice can be essential in solving this problem. The two strategies provide an opportunity for the learning institutions to address indiscipline and insubordination problems. Ongoing interactions and group sharing among the teachers help them grow professionally by gaining new skills and new ways of addressing various issues, leading to organizational change. The teacher who fails to follow protocols and does not respect authority will learn through the ongoing interactions with the other peers and start following the established protocols in the school. </w:t>
      </w:r>
    </w:p>
    <w:p w:rsidR="00523FFB" w:rsidRPr="00932CB6" w:rsidRDefault="00A47BAE" w:rsidP="00932CB6">
      <w:pPr>
        <w:spacing w:line="480" w:lineRule="auto"/>
        <w:jc w:val="center"/>
        <w:rPr>
          <w:rFonts w:ascii="Times New Roman" w:hAnsi="Times New Roman" w:cs="Times New Roman"/>
          <w:b/>
          <w:sz w:val="24"/>
          <w:szCs w:val="24"/>
        </w:rPr>
      </w:pPr>
      <w:r w:rsidRPr="00932CB6">
        <w:rPr>
          <w:rFonts w:ascii="Times New Roman" w:hAnsi="Times New Roman" w:cs="Times New Roman"/>
          <w:b/>
          <w:sz w:val="24"/>
          <w:szCs w:val="24"/>
        </w:rPr>
        <w:t>Reference</w:t>
      </w:r>
    </w:p>
    <w:p w:rsidR="00523FFB" w:rsidRDefault="00A47BAE" w:rsidP="00932CB6">
      <w:pPr>
        <w:spacing w:after="0" w:line="480" w:lineRule="auto"/>
        <w:ind w:left="720" w:hanging="720"/>
        <w:rPr>
          <w:rFonts w:ascii="Times New Roman" w:hAnsi="Times New Roman" w:cs="Times New Roman"/>
          <w:sz w:val="24"/>
          <w:szCs w:val="24"/>
          <w:shd w:val="clear" w:color="auto" w:fill="FFFFFF"/>
        </w:rPr>
      </w:pPr>
      <w:r w:rsidRPr="00932CB6">
        <w:rPr>
          <w:rFonts w:ascii="Times New Roman" w:hAnsi="Times New Roman" w:cs="Times New Roman"/>
          <w:color w:val="222222"/>
          <w:sz w:val="24"/>
          <w:szCs w:val="24"/>
          <w:shd w:val="clear" w:color="auto" w:fill="FFFFFF"/>
        </w:rPr>
        <w:t>Bond, M. A., &amp; Blevins, S. J. (2020). Using faculty professional development to foster organizational change: A social learning framework. </w:t>
      </w:r>
      <w:r w:rsidRPr="00932CB6">
        <w:rPr>
          <w:rFonts w:ascii="Times New Roman" w:hAnsi="Times New Roman" w:cs="Times New Roman"/>
          <w:i/>
          <w:iCs/>
          <w:color w:val="222222"/>
          <w:sz w:val="24"/>
          <w:szCs w:val="24"/>
          <w:shd w:val="clear" w:color="auto" w:fill="FFFFFF"/>
        </w:rPr>
        <w:t>TechTrends</w:t>
      </w:r>
      <w:r w:rsidRPr="00932CB6">
        <w:rPr>
          <w:rFonts w:ascii="Times New Roman" w:hAnsi="Times New Roman" w:cs="Times New Roman"/>
          <w:color w:val="222222"/>
          <w:sz w:val="24"/>
          <w:szCs w:val="24"/>
          <w:shd w:val="clear" w:color="auto" w:fill="FFFFFF"/>
        </w:rPr>
        <w:t>, </w:t>
      </w:r>
      <w:r w:rsidRPr="00932CB6">
        <w:rPr>
          <w:rFonts w:ascii="Times New Roman" w:hAnsi="Times New Roman" w:cs="Times New Roman"/>
          <w:i/>
          <w:iCs/>
          <w:color w:val="222222"/>
          <w:sz w:val="24"/>
          <w:szCs w:val="24"/>
          <w:shd w:val="clear" w:color="auto" w:fill="FFFFFF"/>
        </w:rPr>
        <w:t>64</w:t>
      </w:r>
      <w:r w:rsidRPr="00932CB6">
        <w:rPr>
          <w:rFonts w:ascii="Times New Roman" w:hAnsi="Times New Roman" w:cs="Times New Roman"/>
          <w:color w:val="222222"/>
          <w:sz w:val="24"/>
          <w:szCs w:val="24"/>
          <w:shd w:val="clear" w:color="auto" w:fill="FFFFFF"/>
        </w:rPr>
        <w:t>(2), 229-237.</w:t>
      </w:r>
      <w:r w:rsidRPr="00932CB6">
        <w:rPr>
          <w:rFonts w:ascii="Times New Roman" w:hAnsi="Times New Roman" w:cs="Times New Roman"/>
          <w:sz w:val="24"/>
          <w:szCs w:val="24"/>
        </w:rPr>
        <w:t xml:space="preserve"> </w:t>
      </w:r>
      <w:hyperlink r:id="rId10" w:history="1">
        <w:r w:rsidRPr="00932CB6">
          <w:rPr>
            <w:rStyle w:val="Hyperlink"/>
            <w:rFonts w:ascii="Times New Roman" w:hAnsi="Times New Roman" w:cs="Times New Roman"/>
            <w:sz w:val="24"/>
            <w:szCs w:val="24"/>
            <w:shd w:val="clear" w:color="auto" w:fill="FFFFFF"/>
          </w:rPr>
          <w:t>https://link.springer.com/article/10.1007/s11528-019-00459-2</w:t>
        </w:r>
      </w:hyperlink>
    </w:p>
    <w:p w:rsidR="00932CB6" w:rsidRDefault="00932CB6" w:rsidP="00932CB6">
      <w:pPr>
        <w:spacing w:after="0" w:line="480" w:lineRule="auto"/>
        <w:ind w:left="720" w:hanging="720"/>
        <w:rPr>
          <w:rFonts w:ascii="Times New Roman" w:hAnsi="Times New Roman" w:cs="Times New Roman"/>
          <w:sz w:val="24"/>
          <w:szCs w:val="24"/>
          <w:shd w:val="clear" w:color="auto" w:fill="FFFFFF"/>
        </w:rPr>
      </w:pPr>
    </w:p>
    <w:p w:rsidR="00932CB6" w:rsidRDefault="00932CB6" w:rsidP="00932CB6">
      <w:pPr>
        <w:spacing w:after="0" w:line="480" w:lineRule="auto"/>
        <w:ind w:left="720" w:hanging="720"/>
        <w:rPr>
          <w:rFonts w:ascii="Times New Roman" w:hAnsi="Times New Roman" w:cs="Times New Roman"/>
          <w:sz w:val="24"/>
          <w:szCs w:val="24"/>
          <w:shd w:val="clear" w:color="auto" w:fill="FFFFFF"/>
        </w:rPr>
      </w:pPr>
    </w:p>
    <w:p w:rsidR="00932CB6" w:rsidRDefault="00932CB6" w:rsidP="00932CB6">
      <w:pPr>
        <w:spacing w:after="0" w:line="480" w:lineRule="auto"/>
        <w:ind w:left="720" w:hanging="720"/>
        <w:rPr>
          <w:rFonts w:ascii="Times New Roman" w:hAnsi="Times New Roman" w:cs="Times New Roman"/>
          <w:sz w:val="24"/>
          <w:szCs w:val="24"/>
          <w:shd w:val="clear" w:color="auto" w:fill="FFFFFF"/>
        </w:rPr>
      </w:pPr>
    </w:p>
    <w:p w:rsidR="00932CB6" w:rsidRPr="00932CB6" w:rsidRDefault="00932CB6" w:rsidP="00932CB6">
      <w:pPr>
        <w:spacing w:after="0" w:line="480" w:lineRule="auto"/>
        <w:ind w:left="720" w:hanging="720"/>
        <w:rPr>
          <w:rFonts w:ascii="Times New Roman" w:hAnsi="Times New Roman" w:cs="Times New Roman"/>
          <w:sz w:val="24"/>
          <w:szCs w:val="24"/>
          <w:shd w:val="clear" w:color="auto" w:fill="FFFFFF"/>
        </w:rPr>
      </w:pPr>
    </w:p>
    <w:p w:rsidR="00523FFB" w:rsidRPr="00932CB6" w:rsidRDefault="00A47BAE" w:rsidP="00932CB6">
      <w:pPr>
        <w:spacing w:after="0" w:line="480" w:lineRule="auto"/>
        <w:ind w:left="720" w:hanging="720"/>
        <w:jc w:val="center"/>
        <w:rPr>
          <w:rFonts w:ascii="Times New Roman" w:hAnsi="Times New Roman" w:cs="Times New Roman"/>
          <w:b/>
          <w:color w:val="222222"/>
          <w:sz w:val="24"/>
          <w:szCs w:val="24"/>
          <w:shd w:val="clear" w:color="auto" w:fill="FFFFFF"/>
        </w:rPr>
      </w:pPr>
      <w:r w:rsidRPr="00932CB6">
        <w:rPr>
          <w:rFonts w:ascii="Times New Roman" w:hAnsi="Times New Roman" w:cs="Times New Roman"/>
          <w:b/>
          <w:color w:val="222222"/>
          <w:sz w:val="24"/>
          <w:szCs w:val="24"/>
          <w:shd w:val="clear" w:color="auto" w:fill="FFFFFF"/>
        </w:rPr>
        <w:t>Third Response</w:t>
      </w:r>
    </w:p>
    <w:p w:rsidR="00523FFB" w:rsidRPr="00932CB6" w:rsidRDefault="00A47BAE" w:rsidP="00932CB6">
      <w:pPr>
        <w:spacing w:after="0" w:line="480" w:lineRule="auto"/>
        <w:ind w:firstLine="720"/>
        <w:jc w:val="both"/>
        <w:rPr>
          <w:rFonts w:ascii="Times New Roman" w:hAnsi="Times New Roman" w:cs="Times New Roman"/>
          <w:color w:val="222222"/>
          <w:sz w:val="24"/>
          <w:szCs w:val="24"/>
          <w:shd w:val="clear" w:color="auto" w:fill="FFFFFF"/>
        </w:rPr>
      </w:pPr>
      <w:r w:rsidRPr="00932CB6">
        <w:rPr>
          <w:rFonts w:ascii="Times New Roman" w:hAnsi="Times New Roman" w:cs="Times New Roman"/>
          <w:color w:val="222222"/>
          <w:sz w:val="24"/>
          <w:szCs w:val="24"/>
          <w:shd w:val="clear" w:color="auto" w:fill="FFFFFF"/>
        </w:rPr>
        <w:lastRenderedPageBreak/>
        <w:t xml:space="preserve">It is commendable to Montessori Incorporated to encourage professional development among the employees and especially teachers who play an essential role in impacting the lives of future leaders. </w:t>
      </w:r>
      <w:r w:rsidR="00F71D58" w:rsidRPr="00932CB6">
        <w:rPr>
          <w:rFonts w:ascii="Times New Roman" w:hAnsi="Times New Roman" w:cs="Times New Roman"/>
          <w:color w:val="222222"/>
          <w:sz w:val="24"/>
          <w:szCs w:val="24"/>
          <w:shd w:val="clear" w:color="auto" w:fill="FFFFFF"/>
        </w:rPr>
        <w:t>Encouraging frequent meetings and discussions between school leaders is a crucial way of ensuring collaboration and sharing knowledge and skills among the leaders to enhance their professional growth and development. The Communities of Practice strategy describes just what Montessori Incorporated does. The strategy involves ongoing interactions between various individuals to encourage knowledge and expertise growth (Bond &amp; Blevins, 2020). The interactions occur through regular meetings and discussions, just like in Montessori. The problem you have highlighted on leadership shows high level</w:t>
      </w:r>
      <w:r w:rsidR="00932CB6" w:rsidRPr="00932CB6">
        <w:rPr>
          <w:rFonts w:ascii="Times New Roman" w:hAnsi="Times New Roman" w:cs="Times New Roman"/>
          <w:color w:val="222222"/>
          <w:sz w:val="24"/>
          <w:szCs w:val="24"/>
          <w:shd w:val="clear" w:color="auto" w:fill="FFFFFF"/>
        </w:rPr>
        <w:t>s of competence in leadership positions at Montessori Incorporated. High levels of competition illustrated enthusiasm and commitment to professional development, which is essential in any organization. Competition is good, but if not reg</w:t>
      </w:r>
      <w:bookmarkStart w:id="0" w:name="_GoBack"/>
      <w:bookmarkEnd w:id="0"/>
      <w:r w:rsidR="00932CB6" w:rsidRPr="00932CB6">
        <w:rPr>
          <w:rFonts w:ascii="Times New Roman" w:hAnsi="Times New Roman" w:cs="Times New Roman"/>
          <w:color w:val="222222"/>
          <w:sz w:val="24"/>
          <w:szCs w:val="24"/>
          <w:shd w:val="clear" w:color="auto" w:fill="FFFFFF"/>
        </w:rPr>
        <w:t xml:space="preserve">ulated, it may lead to negative consequences like insubordination which can significantly affect the overall preformation and acceptance of </w:t>
      </w:r>
      <w:r w:rsidR="00D5373A">
        <w:rPr>
          <w:rFonts w:ascii="Times New Roman" w:hAnsi="Times New Roman" w:cs="Times New Roman"/>
          <w:color w:val="222222"/>
          <w:sz w:val="24"/>
          <w:szCs w:val="24"/>
          <w:shd w:val="clear" w:color="auto" w:fill="FFFFFF"/>
        </w:rPr>
        <w:t xml:space="preserve">the </w:t>
      </w:r>
      <w:r w:rsidR="00932CB6" w:rsidRPr="00932CB6">
        <w:rPr>
          <w:rFonts w:ascii="Times New Roman" w:hAnsi="Times New Roman" w:cs="Times New Roman"/>
          <w:color w:val="222222"/>
          <w:sz w:val="24"/>
          <w:szCs w:val="24"/>
          <w:shd w:val="clear" w:color="auto" w:fill="FFFFFF"/>
        </w:rPr>
        <w:t>change. Montessori Incorporated should thus utilize the Communities of practice strategies to enhance positive competition and positive professional development to foster organizational change.</w:t>
      </w:r>
    </w:p>
    <w:p w:rsidR="00523FFB" w:rsidRPr="00932CB6" w:rsidRDefault="00A47BAE" w:rsidP="00932CB6">
      <w:pPr>
        <w:spacing w:line="480" w:lineRule="auto"/>
        <w:jc w:val="center"/>
        <w:rPr>
          <w:rFonts w:ascii="Times New Roman" w:hAnsi="Times New Roman" w:cs="Times New Roman"/>
          <w:b/>
          <w:sz w:val="24"/>
          <w:szCs w:val="24"/>
        </w:rPr>
      </w:pPr>
      <w:r w:rsidRPr="00932CB6">
        <w:rPr>
          <w:rFonts w:ascii="Times New Roman" w:hAnsi="Times New Roman" w:cs="Times New Roman"/>
          <w:b/>
          <w:sz w:val="24"/>
          <w:szCs w:val="24"/>
        </w:rPr>
        <w:t>Reference</w:t>
      </w:r>
    </w:p>
    <w:p w:rsidR="00523FFB" w:rsidRPr="00932CB6" w:rsidRDefault="00A47BAE" w:rsidP="00932CB6">
      <w:pPr>
        <w:spacing w:after="0" w:line="480" w:lineRule="auto"/>
        <w:ind w:left="720" w:hanging="720"/>
        <w:rPr>
          <w:rFonts w:ascii="Times New Roman" w:hAnsi="Times New Roman" w:cs="Times New Roman"/>
          <w:color w:val="222222"/>
          <w:sz w:val="24"/>
          <w:szCs w:val="24"/>
          <w:shd w:val="clear" w:color="auto" w:fill="FFFFFF"/>
        </w:rPr>
      </w:pPr>
      <w:r w:rsidRPr="00932CB6">
        <w:rPr>
          <w:rFonts w:ascii="Times New Roman" w:hAnsi="Times New Roman" w:cs="Times New Roman"/>
          <w:color w:val="222222"/>
          <w:sz w:val="24"/>
          <w:szCs w:val="24"/>
          <w:shd w:val="clear" w:color="auto" w:fill="FFFFFF"/>
        </w:rPr>
        <w:t>Bond, M. A., &amp; Blevins, S. J. (2020). Using faculty professional development to foster organizational change: A social learning framework. </w:t>
      </w:r>
      <w:r w:rsidRPr="00932CB6">
        <w:rPr>
          <w:rFonts w:ascii="Times New Roman" w:hAnsi="Times New Roman" w:cs="Times New Roman"/>
          <w:i/>
          <w:iCs/>
          <w:color w:val="222222"/>
          <w:sz w:val="24"/>
          <w:szCs w:val="24"/>
          <w:shd w:val="clear" w:color="auto" w:fill="FFFFFF"/>
        </w:rPr>
        <w:t>TechTrends</w:t>
      </w:r>
      <w:r w:rsidRPr="00932CB6">
        <w:rPr>
          <w:rFonts w:ascii="Times New Roman" w:hAnsi="Times New Roman" w:cs="Times New Roman"/>
          <w:color w:val="222222"/>
          <w:sz w:val="24"/>
          <w:szCs w:val="24"/>
          <w:shd w:val="clear" w:color="auto" w:fill="FFFFFF"/>
        </w:rPr>
        <w:t>, </w:t>
      </w:r>
      <w:r w:rsidRPr="00932CB6">
        <w:rPr>
          <w:rFonts w:ascii="Times New Roman" w:hAnsi="Times New Roman" w:cs="Times New Roman"/>
          <w:i/>
          <w:iCs/>
          <w:color w:val="222222"/>
          <w:sz w:val="24"/>
          <w:szCs w:val="24"/>
          <w:shd w:val="clear" w:color="auto" w:fill="FFFFFF"/>
        </w:rPr>
        <w:t>64</w:t>
      </w:r>
      <w:r w:rsidRPr="00932CB6">
        <w:rPr>
          <w:rFonts w:ascii="Times New Roman" w:hAnsi="Times New Roman" w:cs="Times New Roman"/>
          <w:color w:val="222222"/>
          <w:sz w:val="24"/>
          <w:szCs w:val="24"/>
          <w:shd w:val="clear" w:color="auto" w:fill="FFFFFF"/>
        </w:rPr>
        <w:t>(2), 229-237.</w:t>
      </w:r>
      <w:r w:rsidRPr="00932CB6">
        <w:rPr>
          <w:rFonts w:ascii="Times New Roman" w:hAnsi="Times New Roman" w:cs="Times New Roman"/>
          <w:sz w:val="24"/>
          <w:szCs w:val="24"/>
        </w:rPr>
        <w:t xml:space="preserve"> </w:t>
      </w:r>
      <w:hyperlink r:id="rId11" w:history="1">
        <w:r w:rsidRPr="00932CB6">
          <w:rPr>
            <w:rStyle w:val="Hyperlink"/>
            <w:rFonts w:ascii="Times New Roman" w:hAnsi="Times New Roman" w:cs="Times New Roman"/>
            <w:sz w:val="24"/>
            <w:szCs w:val="24"/>
            <w:shd w:val="clear" w:color="auto" w:fill="FFFFFF"/>
          </w:rPr>
          <w:t>https://link.springer.com/article/10.1007/s11528-019-00459-2</w:t>
        </w:r>
      </w:hyperlink>
    </w:p>
    <w:p w:rsidR="00523FFB" w:rsidRPr="00932CB6" w:rsidRDefault="00523FFB" w:rsidP="00932CB6">
      <w:pPr>
        <w:spacing w:line="480" w:lineRule="auto"/>
        <w:rPr>
          <w:rFonts w:ascii="Times New Roman" w:hAnsi="Times New Roman" w:cs="Times New Roman"/>
          <w:sz w:val="24"/>
          <w:szCs w:val="24"/>
        </w:rPr>
      </w:pPr>
    </w:p>
    <w:p w:rsidR="00523FFB" w:rsidRPr="00932CB6" w:rsidRDefault="00523FFB" w:rsidP="00932CB6">
      <w:pPr>
        <w:spacing w:after="0" w:line="480" w:lineRule="auto"/>
        <w:ind w:left="720" w:hanging="720"/>
        <w:rPr>
          <w:rFonts w:ascii="Times New Roman" w:hAnsi="Times New Roman" w:cs="Times New Roman"/>
          <w:color w:val="222222"/>
          <w:sz w:val="24"/>
          <w:szCs w:val="24"/>
          <w:shd w:val="clear" w:color="auto" w:fill="FFFFFF"/>
        </w:rPr>
      </w:pPr>
    </w:p>
    <w:p w:rsidR="00523FFB" w:rsidRPr="00932CB6" w:rsidRDefault="00523FFB" w:rsidP="00932CB6">
      <w:pPr>
        <w:spacing w:line="480" w:lineRule="auto"/>
        <w:rPr>
          <w:rFonts w:ascii="Times New Roman" w:hAnsi="Times New Roman" w:cs="Times New Roman"/>
          <w:sz w:val="24"/>
          <w:szCs w:val="24"/>
        </w:rPr>
      </w:pPr>
    </w:p>
    <w:sectPr w:rsidR="00523FFB" w:rsidRPr="00932CB6">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774" w:rsidRDefault="00CF6774">
      <w:pPr>
        <w:spacing w:after="0" w:line="240" w:lineRule="auto"/>
      </w:pPr>
      <w:r>
        <w:separator/>
      </w:r>
    </w:p>
  </w:endnote>
  <w:endnote w:type="continuationSeparator" w:id="0">
    <w:p w:rsidR="00CF6774" w:rsidRDefault="00CF6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774" w:rsidRDefault="00CF6774">
      <w:pPr>
        <w:spacing w:after="0" w:line="240" w:lineRule="auto"/>
      </w:pPr>
      <w:r>
        <w:separator/>
      </w:r>
    </w:p>
  </w:footnote>
  <w:footnote w:type="continuationSeparator" w:id="0">
    <w:p w:rsidR="00CF6774" w:rsidRDefault="00CF67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5503171"/>
      <w:docPartObj>
        <w:docPartGallery w:val="Page Numbers (Top of Page)"/>
        <w:docPartUnique/>
      </w:docPartObj>
    </w:sdtPr>
    <w:sdtEndPr>
      <w:rPr>
        <w:noProof/>
      </w:rPr>
    </w:sdtEndPr>
    <w:sdtContent>
      <w:p w:rsidR="00523FFB" w:rsidRDefault="00A47BAE" w:rsidP="0082081D">
        <w:pPr>
          <w:pStyle w:val="Header"/>
        </w:pPr>
        <w:r>
          <w:rPr>
            <w:rFonts w:ascii="Times New Roman" w:hAnsi="Times New Roman" w:cs="Times New Roman"/>
            <w:sz w:val="24"/>
            <w:szCs w:val="24"/>
          </w:rPr>
          <w:t>FOSTERING ORGANIZATIONAL CHANGE</w:t>
        </w:r>
        <w:r w:rsidRPr="007E21AE">
          <w:rPr>
            <w:rFonts w:ascii="Times New Roman" w:hAnsi="Times New Roman" w:cs="Times New Roman"/>
            <w:sz w:val="24"/>
            <w:szCs w:val="24"/>
          </w:rPr>
          <w:t xml:space="preserve"> ASSIGNMENT</w:t>
        </w:r>
        <w:r>
          <w:tab/>
        </w:r>
        <w:r>
          <w:fldChar w:fldCharType="begin"/>
        </w:r>
        <w:r>
          <w:instrText xml:space="preserve"> PAGE   \* MERGEFORMAT </w:instrText>
        </w:r>
        <w:r>
          <w:fldChar w:fldCharType="separate"/>
        </w:r>
        <w:r w:rsidR="00D5373A">
          <w:rPr>
            <w:noProof/>
          </w:rPr>
          <w:t>6</w:t>
        </w:r>
        <w:r>
          <w:rPr>
            <w:noProof/>
          </w:rPr>
          <w:fldChar w:fldCharType="end"/>
        </w:r>
      </w:p>
    </w:sdtContent>
  </w:sdt>
  <w:p w:rsidR="00523FFB" w:rsidRDefault="00523FF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U1MDSxNDQ0MjI0MTNQ0lEKTi0uzszPAykwrAUATNywiywAAAA="/>
  </w:docVars>
  <w:rsids>
    <w:rsidRoot w:val="001251A9"/>
    <w:rsid w:val="00022387"/>
    <w:rsid w:val="000E3F3D"/>
    <w:rsid w:val="001251A9"/>
    <w:rsid w:val="00172C17"/>
    <w:rsid w:val="0027278A"/>
    <w:rsid w:val="002A2386"/>
    <w:rsid w:val="00523FFB"/>
    <w:rsid w:val="00546C27"/>
    <w:rsid w:val="007E21AE"/>
    <w:rsid w:val="0082081D"/>
    <w:rsid w:val="00932CB6"/>
    <w:rsid w:val="009D6507"/>
    <w:rsid w:val="00A47BAE"/>
    <w:rsid w:val="00AF7783"/>
    <w:rsid w:val="00B82439"/>
    <w:rsid w:val="00C0711D"/>
    <w:rsid w:val="00CF6774"/>
    <w:rsid w:val="00D5373A"/>
    <w:rsid w:val="00F66E48"/>
    <w:rsid w:val="00F71D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1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51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1251A9"/>
  </w:style>
  <w:style w:type="character" w:styleId="Hyperlink">
    <w:name w:val="Hyperlink"/>
    <w:basedOn w:val="DefaultParagraphFont"/>
    <w:uiPriority w:val="99"/>
    <w:unhideWhenUsed/>
    <w:rsid w:val="001251A9"/>
    <w:rPr>
      <w:color w:val="0563C1" w:themeColor="hyperlink"/>
      <w:u w:val="single"/>
    </w:rPr>
  </w:style>
  <w:style w:type="paragraph" w:styleId="Footer">
    <w:name w:val="footer"/>
    <w:basedOn w:val="Normal"/>
    <w:link w:val="FooterChar"/>
    <w:uiPriority w:val="99"/>
    <w:unhideWhenUsed/>
    <w:rsid w:val="001251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51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1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51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1251A9"/>
  </w:style>
  <w:style w:type="character" w:styleId="Hyperlink">
    <w:name w:val="Hyperlink"/>
    <w:basedOn w:val="DefaultParagraphFont"/>
    <w:uiPriority w:val="99"/>
    <w:unhideWhenUsed/>
    <w:rsid w:val="001251A9"/>
    <w:rPr>
      <w:color w:val="0563C1" w:themeColor="hyperlink"/>
      <w:u w:val="single"/>
    </w:rPr>
  </w:style>
  <w:style w:type="paragraph" w:styleId="Footer">
    <w:name w:val="footer"/>
    <w:basedOn w:val="Normal"/>
    <w:link w:val="FooterChar"/>
    <w:uiPriority w:val="99"/>
    <w:unhideWhenUsed/>
    <w:rsid w:val="001251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5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nk.springer.com/article/10.1007/s11528-019-00459-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mckelvin@liberty.edu" TargetMode="External"/><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link.springer.com/article/10.1007/s11528-019-00459-2" TargetMode="External"/><Relationship Id="rId5" Type="http://schemas.openxmlformats.org/officeDocument/2006/relationships/footnotes" Target="footnotes.xml"/><Relationship Id="rId10" Type="http://schemas.openxmlformats.org/officeDocument/2006/relationships/hyperlink" Target="https://link.springer.com/article/10.1007/s11528-019-00459-2" TargetMode="External"/><Relationship Id="rId4" Type="http://schemas.openxmlformats.org/officeDocument/2006/relationships/webSettings" Target="webSettings.xml"/><Relationship Id="rId9" Type="http://schemas.openxmlformats.org/officeDocument/2006/relationships/hyperlink" Target="https://link.springer.com/article/10.1007/s11528-019-00459-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1369</Words>
  <Characters>7807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Ministry of Education</Company>
  <LinksUpToDate>false</LinksUpToDate>
  <CharactersWithSpaces>9158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2021-05-14T21:34:00Z</dcterms:created>
  <dcterms:modified xsi:type="dcterms:W3CDTF">2021-05-14T21:34:00Z</dcterms:modified>
</cp:coreProperties>
</file>