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A5A" w:rsidRPr="00B92560" w:rsidRDefault="00376A5A" w:rsidP="00380F14"/>
    <w:p w:rsidR="00B92560" w:rsidRDefault="00B92560" w:rsidP="00B92560">
      <w:pPr>
        <w:spacing w:before="300" w:after="150" w:line="645" w:lineRule="atLeast"/>
        <w:jc w:val="center"/>
        <w:outlineLvl w:val="0"/>
        <w:rPr>
          <w:rFonts w:eastAsia="Times New Roman"/>
          <w:b/>
          <w:kern w:val="36"/>
        </w:rPr>
      </w:pPr>
    </w:p>
    <w:p w:rsidR="00B92560" w:rsidRPr="00B92560" w:rsidRDefault="00D45E62" w:rsidP="00B92560">
      <w:pPr>
        <w:spacing w:before="300" w:after="150" w:line="645" w:lineRule="atLeast"/>
        <w:jc w:val="center"/>
        <w:outlineLvl w:val="0"/>
        <w:rPr>
          <w:rFonts w:eastAsia="Times New Roman"/>
          <w:b/>
          <w:bCs/>
          <w:kern w:val="36"/>
        </w:rPr>
      </w:pPr>
      <w:r w:rsidRPr="00B92560">
        <w:rPr>
          <w:rFonts w:eastAsia="Times New Roman"/>
          <w:b/>
          <w:kern w:val="36"/>
        </w:rPr>
        <w:t xml:space="preserve">ARTWORK OF IROQUOIAN CULTURE-THE CULTURE AND HISTORY  </w:t>
      </w:r>
    </w:p>
    <w:p w:rsidR="00B92560" w:rsidRPr="00B92560" w:rsidRDefault="00B92560" w:rsidP="00B92560">
      <w:pPr>
        <w:pStyle w:val="NormalWeb"/>
        <w:tabs>
          <w:tab w:val="left" w:pos="6687"/>
        </w:tabs>
        <w:spacing w:line="480" w:lineRule="auto"/>
        <w:jc w:val="center"/>
        <w:rPr>
          <w:b/>
        </w:rPr>
      </w:pPr>
    </w:p>
    <w:p w:rsidR="00B92560" w:rsidRDefault="00B9256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p>
    <w:p w:rsidR="00731670" w:rsidRDefault="00731670" w:rsidP="00B92560">
      <w:pPr>
        <w:widowControl w:val="0"/>
        <w:spacing w:after="0" w:line="480" w:lineRule="auto"/>
        <w:jc w:val="center"/>
        <w:rPr>
          <w:rFonts w:eastAsia="Times New Roman"/>
          <w:b/>
          <w:color w:val="333333"/>
        </w:rPr>
      </w:pPr>
      <w:r>
        <w:rPr>
          <w:rFonts w:eastAsia="Times New Roman"/>
          <w:b/>
          <w:color w:val="333333"/>
        </w:rPr>
        <w:t xml:space="preserve">Institution Affiliation </w:t>
      </w:r>
    </w:p>
    <w:p w:rsidR="00B92560" w:rsidRPr="00B92560" w:rsidRDefault="00D45E62" w:rsidP="00B92560">
      <w:pPr>
        <w:widowControl w:val="0"/>
        <w:spacing w:after="0" w:line="480" w:lineRule="auto"/>
        <w:jc w:val="center"/>
        <w:rPr>
          <w:rFonts w:eastAsia="SimSun"/>
          <w:kern w:val="2"/>
          <w:lang w:eastAsia="zh-CN"/>
        </w:rPr>
      </w:pPr>
      <w:r w:rsidRPr="00B92560">
        <w:rPr>
          <w:rFonts w:eastAsia="SimSun"/>
          <w:kern w:val="2"/>
          <w:lang w:eastAsia="zh-CN"/>
        </w:rPr>
        <w:t>Name</w:t>
      </w:r>
    </w:p>
    <w:p w:rsidR="00B92560" w:rsidRPr="00B92560" w:rsidRDefault="00D45E62" w:rsidP="00B92560">
      <w:pPr>
        <w:widowControl w:val="0"/>
        <w:spacing w:after="0" w:line="480" w:lineRule="auto"/>
        <w:jc w:val="center"/>
        <w:rPr>
          <w:rFonts w:eastAsia="SimSun"/>
          <w:kern w:val="2"/>
          <w:lang w:eastAsia="zh-CN"/>
        </w:rPr>
      </w:pPr>
      <w:r w:rsidRPr="00B92560">
        <w:rPr>
          <w:rFonts w:eastAsia="SimSun"/>
          <w:kern w:val="2"/>
          <w:lang w:eastAsia="zh-CN"/>
        </w:rPr>
        <w:t xml:space="preserve">Course </w:t>
      </w:r>
    </w:p>
    <w:p w:rsidR="00B92560" w:rsidRPr="00B92560" w:rsidRDefault="00D45E62" w:rsidP="00B92560">
      <w:pPr>
        <w:widowControl w:val="0"/>
        <w:spacing w:after="0" w:line="480" w:lineRule="auto"/>
        <w:jc w:val="center"/>
        <w:rPr>
          <w:rFonts w:eastAsia="SimSun"/>
          <w:kern w:val="2"/>
          <w:lang w:eastAsia="zh-CN"/>
        </w:rPr>
      </w:pPr>
      <w:r w:rsidRPr="00B92560">
        <w:rPr>
          <w:rFonts w:eastAsia="SimSun"/>
          <w:kern w:val="2"/>
          <w:lang w:eastAsia="zh-CN"/>
        </w:rPr>
        <w:t>Date</w:t>
      </w:r>
    </w:p>
    <w:p w:rsidR="00376A5A" w:rsidRPr="00B92560" w:rsidRDefault="00376A5A" w:rsidP="00B92560">
      <w:pPr>
        <w:pStyle w:val="NormalWeb"/>
        <w:spacing w:line="480" w:lineRule="auto"/>
        <w:rPr>
          <w:b/>
          <w:color w:val="333333"/>
        </w:rPr>
      </w:pPr>
    </w:p>
    <w:p w:rsidR="00376A5A" w:rsidRPr="00B92560" w:rsidRDefault="00376A5A" w:rsidP="00B92560">
      <w:pPr>
        <w:pStyle w:val="NormalWeb"/>
        <w:spacing w:line="480" w:lineRule="auto"/>
        <w:rPr>
          <w:b/>
          <w:color w:val="333333"/>
        </w:rPr>
      </w:pPr>
    </w:p>
    <w:p w:rsidR="00376A5A" w:rsidRPr="00B92560" w:rsidRDefault="00376A5A" w:rsidP="00B92560">
      <w:pPr>
        <w:pStyle w:val="NormalWeb"/>
        <w:spacing w:line="480" w:lineRule="auto"/>
        <w:rPr>
          <w:b/>
          <w:color w:val="333333"/>
        </w:rPr>
      </w:pPr>
    </w:p>
    <w:p w:rsidR="00376A5A" w:rsidRPr="00B92560" w:rsidRDefault="00376A5A" w:rsidP="00B92560">
      <w:pPr>
        <w:pStyle w:val="NormalWeb"/>
        <w:spacing w:line="480" w:lineRule="auto"/>
        <w:rPr>
          <w:b/>
          <w:color w:val="333333"/>
        </w:rPr>
      </w:pPr>
    </w:p>
    <w:p w:rsidR="00731670" w:rsidRDefault="00731670" w:rsidP="00B92560">
      <w:pPr>
        <w:pStyle w:val="NormalWeb"/>
        <w:spacing w:line="480" w:lineRule="auto"/>
        <w:ind w:firstLine="720"/>
        <w:rPr>
          <w:bCs/>
        </w:rPr>
      </w:pPr>
    </w:p>
    <w:p w:rsidR="00731670" w:rsidRPr="00731670" w:rsidRDefault="00731670" w:rsidP="00731670">
      <w:pPr>
        <w:pStyle w:val="NormalWeb"/>
        <w:spacing w:line="480" w:lineRule="auto"/>
        <w:ind w:firstLine="720"/>
        <w:rPr>
          <w:b/>
          <w:bCs/>
          <w:u w:val="single"/>
        </w:rPr>
      </w:pPr>
      <w:r w:rsidRPr="00731670">
        <w:rPr>
          <w:b/>
          <w:bCs/>
          <w:u w:val="single"/>
        </w:rPr>
        <w:lastRenderedPageBreak/>
        <w:t xml:space="preserve">ARTWORK OF IROQUOIAN CULTURE-THE CULTURE AND HISTORY  </w:t>
      </w:r>
    </w:p>
    <w:p w:rsidR="00376A5A" w:rsidRPr="00B92560" w:rsidRDefault="00D45E62" w:rsidP="00B92560">
      <w:pPr>
        <w:pStyle w:val="NormalWeb"/>
        <w:spacing w:line="480" w:lineRule="auto"/>
        <w:ind w:firstLine="720"/>
        <w:rPr>
          <w:bCs/>
        </w:rPr>
      </w:pPr>
      <w:r w:rsidRPr="00B92560">
        <w:rPr>
          <w:bCs/>
        </w:rPr>
        <w:t xml:space="preserve">The term "visual art by indigenous peoples of the Americas" refers to the </w:t>
      </w:r>
      <w:r w:rsidR="00A63FFD" w:rsidRPr="00B92560">
        <w:rPr>
          <w:bCs/>
        </w:rPr>
        <w:t>creative image</w:t>
      </w:r>
      <w:r w:rsidRPr="00B92560">
        <w:rPr>
          <w:bCs/>
        </w:rPr>
        <w:t xml:space="preserve"> traditions of </w:t>
      </w:r>
      <w:r w:rsidR="00A63FFD" w:rsidRPr="00B92560">
        <w:rPr>
          <w:bCs/>
        </w:rPr>
        <w:t>native</w:t>
      </w:r>
      <w:r w:rsidRPr="00B92560">
        <w:rPr>
          <w:bCs/>
        </w:rPr>
        <w:t xml:space="preserve"> people from antiquity to the modern day. Writings from South America and North America, including Central America as well as Greenland, are included. In addition, the Siberian Yupiit has been included, as they share a lot of cultural similarities with Native Alaskan Yupiit.</w:t>
      </w:r>
    </w:p>
    <w:p w:rsidR="00376A5A" w:rsidRPr="00B92560" w:rsidRDefault="00D45E62" w:rsidP="00B92560">
      <w:pPr>
        <w:pStyle w:val="NormalWeb"/>
        <w:spacing w:line="480" w:lineRule="auto"/>
        <w:ind w:firstLine="720"/>
        <w:rPr>
          <w:bCs/>
        </w:rPr>
      </w:pPr>
      <w:r w:rsidRPr="00B92560">
        <w:rPr>
          <w:bCs/>
        </w:rPr>
        <w:t xml:space="preserve">Painting, basket weaving, textile products, and photography are examples of mobile arts, while architecture, artwork, public sculptures, and statues are examples of monumental works. Few Indigenous artworks are similar to Western visual arts, while others, like porcupine quillwork and birchbark chewing, </w:t>
      </w:r>
      <w:proofErr w:type="gramStart"/>
      <w:r w:rsidRPr="00B92560">
        <w:rPr>
          <w:bCs/>
        </w:rPr>
        <w:t>are only found</w:t>
      </w:r>
      <w:proofErr w:type="gramEnd"/>
      <w:r w:rsidRPr="00B92560">
        <w:rPr>
          <w:bCs/>
        </w:rPr>
        <w:t xml:space="preserve"> in the United States</w:t>
      </w:r>
      <w:r w:rsidR="00146D7A">
        <w:rPr>
          <w:rStyle w:val="FootnoteReference"/>
          <w:bCs/>
        </w:rPr>
        <w:footnoteReference w:id="1"/>
      </w:r>
      <w:r w:rsidRPr="00B92560">
        <w:rPr>
          <w:bCs/>
        </w:rPr>
        <w:t>.</w:t>
      </w:r>
    </w:p>
    <w:p w:rsidR="00376A5A" w:rsidRPr="00B92560" w:rsidRDefault="00D45E62" w:rsidP="00B92560">
      <w:pPr>
        <w:pStyle w:val="NormalWeb"/>
        <w:spacing w:line="480" w:lineRule="auto"/>
        <w:ind w:firstLine="720"/>
      </w:pPr>
      <w:r w:rsidRPr="00B92560">
        <w:t xml:space="preserve">Since sustained contact in 1492, European countries have gathered indigenous culture from the Americas, which has been included in the cabinet of mysteries and early museums. Conservative in nature. Indigenous artwork of the Americas has been divided into three categories by Western museums and art galleries: Africa, Oceania, as well as the </w:t>
      </w:r>
      <w:r w:rsidR="00C93CA0">
        <w:t>united states of American residents</w:t>
      </w:r>
      <w:r w:rsidRPr="00B92560">
        <w:t xml:space="preserve">, with precontact </w:t>
      </w:r>
      <w:r w:rsidR="00C93CA0" w:rsidRPr="00B92560">
        <w:t>painting</w:t>
      </w:r>
      <w:r w:rsidRPr="00B92560">
        <w:t xml:space="preserve"> identified as pre-Columbian artwork, a phrase that is often used to refer just to precontact </w:t>
      </w:r>
      <w:r w:rsidR="00C93CA0" w:rsidRPr="00B92560">
        <w:t>drawing</w:t>
      </w:r>
      <w:r w:rsidR="00C93CA0">
        <w:t xml:space="preserve"> by Native residents</w:t>
      </w:r>
      <w:r w:rsidRPr="00B92560">
        <w:t xml:space="preserve"> of Latin America. Indigenous academics and collaborators are working to understand and view </w:t>
      </w:r>
      <w:r w:rsidR="00C93CA0" w:rsidRPr="00B92560">
        <w:t>Native</w:t>
      </w:r>
      <w:r w:rsidRPr="00B92560">
        <w:t xml:space="preserve"> culture from an Indigenous perspective.</w:t>
      </w:r>
    </w:p>
    <w:p w:rsidR="00376A5A" w:rsidRPr="00B92560" w:rsidRDefault="00D45E62" w:rsidP="00B92560">
      <w:pPr>
        <w:pStyle w:val="NormalWeb"/>
        <w:spacing w:line="480" w:lineRule="auto"/>
        <w:ind w:firstLine="720"/>
      </w:pPr>
      <w:r w:rsidRPr="00B92560">
        <w:t xml:space="preserve">The lithic era, also known as the Paleo-Indian era, is roughly 18,000–8000 BCE in North America. The archaic era is described as the period between 8000 and 800 BCE. Fresh produce </w:t>
      </w:r>
      <w:r w:rsidRPr="00B92560">
        <w:lastRenderedPageBreak/>
        <w:t>materials, like natural fibers or skins, had seldom been stored ov</w:t>
      </w:r>
      <w:r w:rsidR="00A63FFD">
        <w:t>er centuries, even though individuals</w:t>
      </w:r>
      <w:r w:rsidRPr="00B92560">
        <w:t xml:space="preserve"> of this </w:t>
      </w:r>
      <w:r w:rsidR="00A63FFD" w:rsidRPr="00B92560">
        <w:t>period</w:t>
      </w:r>
      <w:r w:rsidRPr="00B92560">
        <w:t xml:space="preserve"> dealt with a </w:t>
      </w:r>
      <w:r w:rsidR="00C93CA0" w:rsidRPr="00B92560">
        <w:t>compl</w:t>
      </w:r>
      <w:r w:rsidRPr="00B92560">
        <w:t xml:space="preserve">ete variety of </w:t>
      </w:r>
      <w:r w:rsidR="00A63FFD" w:rsidRPr="00B92560">
        <w:t>resources</w:t>
      </w:r>
      <w:r w:rsidRPr="00B92560">
        <w:t xml:space="preserve">. Bannerstones, Projectiles points, lithic </w:t>
      </w:r>
      <w:r w:rsidR="00A63FFD" w:rsidRPr="00B92560">
        <w:t>decrease</w:t>
      </w:r>
      <w:r w:rsidRPr="00B92560">
        <w:t xml:space="preserve"> forms, and pictographic cave </w:t>
      </w:r>
      <w:r w:rsidR="00A63FFD" w:rsidRPr="00B92560">
        <w:t>portraits</w:t>
      </w:r>
      <w:r w:rsidRPr="00B92560">
        <w:t xml:space="preserve"> were all made by native peoples, and a few of them have endured to the current day.</w:t>
      </w:r>
    </w:p>
    <w:p w:rsidR="00376A5A" w:rsidRPr="00B92560" w:rsidRDefault="00D45E62" w:rsidP="00B92560">
      <w:pPr>
        <w:pStyle w:val="NormalWeb"/>
        <w:spacing w:line="480" w:lineRule="auto"/>
        <w:ind w:firstLine="720"/>
      </w:pPr>
      <w:r w:rsidRPr="00B92560">
        <w:t xml:space="preserve">The world's oldest </w:t>
      </w:r>
      <w:r w:rsidR="00407872" w:rsidRPr="00B92560">
        <w:t>painting</w:t>
      </w:r>
      <w:r w:rsidRPr="00B92560">
        <w:t xml:space="preserve"> in the United States is a decorated </w:t>
      </w:r>
      <w:r w:rsidR="00C93CA0" w:rsidRPr="00B92560">
        <w:t>megafauna’s</w:t>
      </w:r>
      <w:r w:rsidRPr="00B92560">
        <w:t xml:space="preserve"> </w:t>
      </w:r>
      <w:r w:rsidR="00407872">
        <w:t>skeleton</w:t>
      </w:r>
      <w:r w:rsidRPr="00B92560">
        <w:t xml:space="preserve">, probably from a </w:t>
      </w:r>
      <w:r w:rsidR="00C93CA0" w:rsidRPr="00B92560">
        <w:t>gigantic</w:t>
      </w:r>
      <w:r w:rsidRPr="00B92560">
        <w:t xml:space="preserve">, engraved </w:t>
      </w:r>
      <w:r w:rsidR="00C93CA0" w:rsidRPr="00B92560">
        <w:t>outline</w:t>
      </w:r>
      <w:r w:rsidRPr="00B92560">
        <w:t xml:space="preserve"> of moving </w:t>
      </w:r>
      <w:r w:rsidR="00C93CA0" w:rsidRPr="00B92560">
        <w:t>enormous</w:t>
      </w:r>
      <w:r w:rsidRPr="00B92560">
        <w:t xml:space="preserve"> and mastodon, which goes back to 11,000 BCE and belongs to the Lithic period. The fossil was </w:t>
      </w:r>
      <w:r w:rsidR="00C93CA0" w:rsidRPr="00B92560">
        <w:t>revealed</w:t>
      </w:r>
      <w:r w:rsidRPr="00B92560">
        <w:t xml:space="preserve"> ne</w:t>
      </w:r>
      <w:r w:rsidR="00C93CA0">
        <w:t>ar Vero Beaches, Florida, around</w:t>
      </w:r>
      <w:r w:rsidRPr="00B92560">
        <w:t xml:space="preserve"> the early twenty-first century, in a</w:t>
      </w:r>
      <w:r w:rsidR="00C93CA0">
        <w:t>n</w:t>
      </w:r>
      <w:r w:rsidRPr="00B92560">
        <w:t xml:space="preserve"> </w:t>
      </w:r>
      <w:r w:rsidR="00C93CA0" w:rsidRPr="00B92560">
        <w:t>area</w:t>
      </w:r>
      <w:r w:rsidRPr="00B92560">
        <w:t xml:space="preserve"> where human remains had </w:t>
      </w:r>
      <w:r w:rsidR="00C93CA0">
        <w:t>been gotten</w:t>
      </w:r>
      <w:r w:rsidRPr="00B92560">
        <w:t xml:space="preserve"> in connection with </w:t>
      </w:r>
      <w:r w:rsidR="00C93CA0" w:rsidRPr="00B92560">
        <w:t>nonexistent</w:t>
      </w:r>
      <w:r w:rsidRPr="00B92560">
        <w:t xml:space="preserve"> Pleistocene species in the previous </w:t>
      </w:r>
      <w:r w:rsidR="00C93CA0" w:rsidRPr="00B92560">
        <w:t>period</w:t>
      </w:r>
      <w:r w:rsidRPr="00B92560">
        <w:t xml:space="preserve">. Although the bones have become too compacted to be aged, the </w:t>
      </w:r>
      <w:r w:rsidR="00C93CA0" w:rsidRPr="00B92560">
        <w:t>statue</w:t>
      </w:r>
      <w:r w:rsidR="00C93CA0">
        <w:t xml:space="preserve"> has been verified as bei</w:t>
      </w:r>
      <w:r w:rsidRPr="00B92560">
        <w:t>n</w:t>
      </w:r>
      <w:r w:rsidR="00C93CA0">
        <w:t>g</w:t>
      </w:r>
      <w:r w:rsidRPr="00B92560">
        <w:t xml:space="preserve"> created before the skeleton was mineralized. The carving's structural accuracy, as well as the bone's strong mineralization, suggests that it was carved as mammoths or mastodons that still roamed the region over 10,000 years ago.</w:t>
      </w:r>
    </w:p>
    <w:p w:rsidR="00376A5A" w:rsidRPr="00B92560" w:rsidRDefault="00D45E62" w:rsidP="00B92560">
      <w:pPr>
        <w:pStyle w:val="NormalWeb"/>
        <w:spacing w:line="480" w:lineRule="auto"/>
        <w:ind w:firstLine="720"/>
      </w:pPr>
      <w:r w:rsidRPr="00B92560">
        <w:t xml:space="preserve">The Cooper Bison Bone, dating from about 8,050 BCE, is the oldest recorded painted item in North America. Monte Alegre's art cave paintings from Caverna da Pedra Pintada, dated from 9250 to 8550 BCE, are examples of Lithic era artwork in South America. The earliest recorded fabrics in South America </w:t>
      </w:r>
      <w:proofErr w:type="gramStart"/>
      <w:r w:rsidRPr="00B92560">
        <w:t>are found</w:t>
      </w:r>
      <w:proofErr w:type="gramEnd"/>
      <w:r w:rsidRPr="00B92560">
        <w:t xml:space="preserve"> in Peru's Guitarrero Cave, dating back to 8000 BCE</w:t>
      </w:r>
      <w:r w:rsidR="00146D7A">
        <w:rPr>
          <w:rStyle w:val="FootnoteReference"/>
        </w:rPr>
        <w:footnoteReference w:id="2"/>
      </w:r>
      <w:r w:rsidRPr="00B92560">
        <w:t>.</w:t>
      </w:r>
    </w:p>
    <w:p w:rsidR="00376A5A" w:rsidRPr="00B92560" w:rsidRDefault="00D45E62" w:rsidP="00B92560">
      <w:pPr>
        <w:pStyle w:val="NormalWeb"/>
        <w:spacing w:line="480" w:lineRule="auto"/>
        <w:ind w:firstLine="720"/>
      </w:pPr>
      <w:r w:rsidRPr="00B92560">
        <w:t xml:space="preserve">The most significant proportion of pictographs and Petroglyphs from this time can be found in the southwest U.s and other Andean areas. Pictographs or petroglyphs are both examples of rock paintings. The Iroquois were semi-sedentary farmers who palisaded their </w:t>
      </w:r>
      <w:r w:rsidRPr="00B92560">
        <w:lastRenderedPageBreak/>
        <w:t>communities in need, as was typical of Northeast Indians before colonialism. Each community had a population of many hundred people. The Iroquois lived in huge longhouses built of saplings and encased in elm bark, each containing several families.</w:t>
      </w:r>
    </w:p>
    <w:p w:rsidR="00376A5A" w:rsidRPr="00B92560" w:rsidRDefault="00D45E62" w:rsidP="00B92560">
      <w:pPr>
        <w:pStyle w:val="NormalWeb"/>
        <w:spacing w:line="480" w:lineRule="auto"/>
        <w:ind w:firstLine="720"/>
      </w:pPr>
      <w:r w:rsidRPr="00B92560">
        <w:t>Men formed groups where their work was to build houses and palisades, fishing, hunting and involved themselves in military activities. Women produced maize crops, squash, beans, gathering wild foods, made all clothing, and performed other residential goods. Community deer-hunting groups spread much further into the forests just after autumn harvesting, heading to their communities in the middle of the winter. Families were drawn to nearby rivers and lake inlets by fish releases in the spring.</w:t>
      </w:r>
    </w:p>
    <w:p w:rsidR="00376A5A" w:rsidRPr="00B92560" w:rsidRDefault="00D45E62" w:rsidP="00B92560">
      <w:pPr>
        <w:pStyle w:val="NormalWeb"/>
        <w:spacing w:line="480" w:lineRule="auto"/>
        <w:ind w:firstLine="720"/>
      </w:pPr>
      <w:r w:rsidRPr="00B92560">
        <w:t>The traditional Iroquois political system was based on inheritance and geography. Gatherings were important to Iroquois leaders, and they spent a lot of time in councils. Locality, gender, age, as well as the particular issue at hand all decided who attended the committee; each committee would have its procedures and tools for achieving consensus, which was the primary form of judgment.</w:t>
      </w:r>
    </w:p>
    <w:p w:rsidR="00731670" w:rsidRPr="00731670" w:rsidRDefault="00D45E62" w:rsidP="00731670">
      <w:pPr>
        <w:pStyle w:val="topic-paragraph"/>
        <w:spacing w:line="480" w:lineRule="auto"/>
        <w:ind w:firstLine="720"/>
      </w:pPr>
      <w:r w:rsidRPr="00B92560">
        <w:t xml:space="preserve">In the Iroquois community, warfare was significant, and male's self-respect hinged on achieving fame in battle. Tortured and adopted war prisoners were sometimes used to substitute deceased family members. Detainees became a significant community within Iroquois villages by the 17th century </w:t>
      </w:r>
      <w:proofErr w:type="gramStart"/>
      <w:r w:rsidRPr="00B92560">
        <w:t>as a result</w:t>
      </w:r>
      <w:proofErr w:type="gramEnd"/>
      <w:r w:rsidRPr="00B92560">
        <w:t xml:space="preserve"> of war and illness casualties.</w:t>
      </w:r>
    </w:p>
    <w:p w:rsidR="0092223D" w:rsidRDefault="0092223D" w:rsidP="00731670">
      <w:pPr>
        <w:spacing w:before="100" w:beforeAutospacing="1" w:after="100" w:afterAutospacing="1" w:line="480" w:lineRule="auto"/>
        <w:outlineLvl w:val="0"/>
        <w:rPr>
          <w:rFonts w:eastAsia="Times New Roman"/>
          <w:b/>
          <w:bCs/>
          <w:kern w:val="36"/>
        </w:rPr>
      </w:pPr>
    </w:p>
    <w:p w:rsidR="0092223D" w:rsidRDefault="0092223D" w:rsidP="00731670">
      <w:pPr>
        <w:spacing w:before="100" w:beforeAutospacing="1" w:after="100" w:afterAutospacing="1" w:line="480" w:lineRule="auto"/>
        <w:outlineLvl w:val="0"/>
        <w:rPr>
          <w:rFonts w:eastAsia="Times New Roman"/>
          <w:b/>
          <w:bCs/>
          <w:kern w:val="36"/>
        </w:rPr>
      </w:pPr>
    </w:p>
    <w:p w:rsidR="00731670" w:rsidRDefault="00D45E62" w:rsidP="00731670">
      <w:pPr>
        <w:spacing w:before="100" w:beforeAutospacing="1" w:after="100" w:afterAutospacing="1" w:line="480" w:lineRule="auto"/>
        <w:outlineLvl w:val="0"/>
        <w:rPr>
          <w:rFonts w:eastAsia="Times New Roman"/>
          <w:b/>
          <w:bCs/>
          <w:kern w:val="36"/>
        </w:rPr>
      </w:pPr>
      <w:r w:rsidRPr="00B92560">
        <w:rPr>
          <w:rFonts w:eastAsia="Times New Roman"/>
          <w:b/>
          <w:bCs/>
          <w:kern w:val="36"/>
        </w:rPr>
        <w:lastRenderedPageBreak/>
        <w:t>The Importance of Indigenous Art</w:t>
      </w:r>
      <w:r w:rsidR="00731670">
        <w:rPr>
          <w:rFonts w:eastAsia="Times New Roman"/>
          <w:b/>
          <w:bCs/>
          <w:kern w:val="36"/>
        </w:rPr>
        <w:t xml:space="preserve"> </w:t>
      </w:r>
    </w:p>
    <w:p w:rsidR="00376A5A" w:rsidRPr="00731670" w:rsidRDefault="00D45E62" w:rsidP="001413FF">
      <w:pPr>
        <w:spacing w:before="100" w:beforeAutospacing="1" w:after="100" w:afterAutospacing="1" w:line="480" w:lineRule="auto"/>
        <w:ind w:firstLine="720"/>
        <w:outlineLvl w:val="0"/>
        <w:rPr>
          <w:rFonts w:eastAsia="Times New Roman"/>
          <w:b/>
          <w:bCs/>
          <w:kern w:val="36"/>
        </w:rPr>
      </w:pPr>
      <w:r w:rsidRPr="00B92560">
        <w:rPr>
          <w:rFonts w:eastAsia="Times New Roman"/>
        </w:rPr>
        <w:t xml:space="preserve">Since the beginning of time, artwork has evolved over centuries to reflect the development of culture, resulting in various types of art that </w:t>
      </w:r>
      <w:proofErr w:type="gramStart"/>
      <w:r w:rsidRPr="00B92560">
        <w:rPr>
          <w:rFonts w:eastAsia="Times New Roman"/>
        </w:rPr>
        <w:t>were once considered</w:t>
      </w:r>
      <w:proofErr w:type="gramEnd"/>
      <w:r w:rsidRPr="00B92560">
        <w:rPr>
          <w:rFonts w:eastAsia="Times New Roman"/>
        </w:rPr>
        <w:t xml:space="preserve"> non-art. </w:t>
      </w:r>
      <w:r w:rsidR="006A46DF">
        <w:rPr>
          <w:rStyle w:val="FootnoteReference"/>
          <w:rFonts w:eastAsia="Times New Roman"/>
        </w:rPr>
        <w:footnoteReference w:id="3"/>
      </w:r>
      <w:r w:rsidRPr="00B92560">
        <w:rPr>
          <w:rFonts w:eastAsia="Times New Roman"/>
        </w:rPr>
        <w:t>Art has stayed in the souls of artists from 10,000 BC to 2017 that have shown images from multiple perspectives that can both teach and provoke controversy. Most of those artworks are stored in art museums where people can see them and museums where individuals can learn about the past of the artifacts and their significance at the time. As documented in history, indigenous peoples have roamed North America for hundreds of years, establishing villages and practicing artwork in various forms, including dancing, carving, drawing, and much more.</w:t>
      </w:r>
      <w:r w:rsidRPr="00B92560">
        <w:t xml:space="preserve"> </w:t>
      </w:r>
      <w:r w:rsidRPr="00B92560">
        <w:rPr>
          <w:rFonts w:eastAsia="Times New Roman"/>
        </w:rPr>
        <w:t xml:space="preserve">With artwork being more adaptable to viewing in multiple locations, the younger audience has the same interaction as anyone else, except in the previous 50 years. </w:t>
      </w:r>
      <w:r w:rsidR="006A46DF">
        <w:rPr>
          <w:rStyle w:val="FootnoteReference"/>
          <w:rFonts w:eastAsia="Times New Roman"/>
        </w:rPr>
        <w:footnoteReference w:id="4"/>
      </w:r>
      <w:r w:rsidRPr="00B92560">
        <w:rPr>
          <w:rFonts w:eastAsia="Times New Roman"/>
        </w:rPr>
        <w:t>Art provides us with awareness of various cultural exchanges, such as native culture, by depicting the timeline from when native people roamed the lands when British Empire took over all the land occupied by native communities. These dramatic changes have resulted in many dissatisfied indigenous people, who have expressed their feelings through art, allowing them to see how their lives have improved since that time.</w:t>
      </w:r>
    </w:p>
    <w:p w:rsidR="00B92560" w:rsidRDefault="00B92560" w:rsidP="00B92560">
      <w:pPr>
        <w:spacing w:line="480" w:lineRule="auto"/>
        <w:rPr>
          <w:rFonts w:eastAsia="Times New Roman"/>
        </w:rPr>
      </w:pPr>
    </w:p>
    <w:p w:rsidR="00731670" w:rsidRDefault="00731670" w:rsidP="00B92560">
      <w:pPr>
        <w:spacing w:line="480" w:lineRule="auto"/>
        <w:rPr>
          <w:b/>
        </w:rPr>
      </w:pPr>
    </w:p>
    <w:p w:rsidR="00731670" w:rsidRDefault="00731670" w:rsidP="00B92560">
      <w:pPr>
        <w:spacing w:line="480" w:lineRule="auto"/>
        <w:rPr>
          <w:b/>
        </w:rPr>
      </w:pPr>
    </w:p>
    <w:p w:rsidR="00731670" w:rsidRDefault="00731670" w:rsidP="00B92560">
      <w:pPr>
        <w:spacing w:line="480" w:lineRule="auto"/>
        <w:rPr>
          <w:b/>
        </w:rPr>
      </w:pPr>
    </w:p>
    <w:p w:rsidR="00F404AC" w:rsidRDefault="00F404AC" w:rsidP="00B92560">
      <w:pPr>
        <w:spacing w:line="480" w:lineRule="auto"/>
        <w:rPr>
          <w:b/>
        </w:rPr>
      </w:pPr>
    </w:p>
    <w:p w:rsidR="00376A5A" w:rsidRPr="00B92560" w:rsidRDefault="00D45E62" w:rsidP="00B92560">
      <w:pPr>
        <w:spacing w:line="480" w:lineRule="auto"/>
        <w:rPr>
          <w:b/>
        </w:rPr>
      </w:pPr>
      <w:r w:rsidRPr="00B92560">
        <w:rPr>
          <w:b/>
        </w:rPr>
        <w:t>Prominent artists from the Nation</w:t>
      </w:r>
    </w:p>
    <w:p w:rsidR="00376A5A" w:rsidRPr="00B92560" w:rsidRDefault="00D45E62" w:rsidP="00B92560">
      <w:pPr>
        <w:spacing w:before="100" w:beforeAutospacing="1" w:after="100" w:afterAutospacing="1" w:line="480" w:lineRule="auto"/>
        <w:outlineLvl w:val="2"/>
        <w:rPr>
          <w:rFonts w:eastAsia="Times New Roman"/>
          <w:b/>
          <w:bCs/>
        </w:rPr>
      </w:pPr>
      <w:r w:rsidRPr="00B92560">
        <w:rPr>
          <w:rFonts w:eastAsia="Times New Roman"/>
          <w:b/>
          <w:bCs/>
        </w:rPr>
        <w:t xml:space="preserve"> Jackson Pollock (1912–1956) </w:t>
      </w:r>
    </w:p>
    <w:p w:rsidR="006A46DF" w:rsidRPr="00146D7A" w:rsidRDefault="00D45E62" w:rsidP="00146D7A">
      <w:pPr>
        <w:spacing w:before="100" w:beforeAutospacing="1" w:after="100" w:afterAutospacing="1" w:line="480" w:lineRule="auto"/>
        <w:ind w:firstLine="720"/>
        <w:outlineLvl w:val="2"/>
        <w:rPr>
          <w:rFonts w:eastAsia="Times New Roman"/>
          <w:bCs/>
        </w:rPr>
      </w:pPr>
      <w:r w:rsidRPr="00B92560">
        <w:rPr>
          <w:rFonts w:eastAsia="Times New Roman"/>
          <w:bCs/>
        </w:rPr>
        <w:t xml:space="preserve">As a traditional painter, Pollock was hindered by drinking, self-doubt, and forgetfulness, so between 1947 and 1950, he redefined his shortcomings and created the drip concepts that reinforced his fame. </w:t>
      </w:r>
      <w:r w:rsidR="006A46DF">
        <w:rPr>
          <w:rStyle w:val="FootnoteReference"/>
          <w:rFonts w:eastAsia="Times New Roman"/>
          <w:bCs/>
        </w:rPr>
        <w:footnoteReference w:id="5"/>
      </w:r>
      <w:r w:rsidRPr="00B92560">
        <w:rPr>
          <w:rFonts w:eastAsia="Times New Roman"/>
          <w:bCs/>
        </w:rPr>
        <w:t xml:space="preserve">He used to paint directly from a can, tossing and dribbling tiny palettes of paint that formed a clear record of his activities </w:t>
      </w:r>
      <w:proofErr w:type="gramStart"/>
      <w:r w:rsidRPr="00B92560">
        <w:rPr>
          <w:rFonts w:eastAsia="Times New Roman"/>
          <w:bCs/>
        </w:rPr>
        <w:t>practice which would be recognized as action painting</w:t>
      </w:r>
      <w:proofErr w:type="gramEnd"/>
      <w:r w:rsidRPr="00B92560">
        <w:rPr>
          <w:rFonts w:eastAsia="Times New Roman"/>
          <w:bCs/>
        </w:rPr>
        <w:t xml:space="preserve"> rather than using an easel to put his canvases flat on the ground.</w:t>
      </w:r>
    </w:p>
    <w:p w:rsidR="00376A5A" w:rsidRPr="00B92560" w:rsidRDefault="00D45E62" w:rsidP="00B92560">
      <w:pPr>
        <w:spacing w:before="100" w:beforeAutospacing="1" w:after="100" w:afterAutospacing="1" w:line="480" w:lineRule="auto"/>
        <w:outlineLvl w:val="2"/>
        <w:rPr>
          <w:rFonts w:eastAsia="Times New Roman"/>
          <w:b/>
          <w:bCs/>
        </w:rPr>
      </w:pPr>
      <w:r w:rsidRPr="00B92560">
        <w:rPr>
          <w:rFonts w:eastAsia="Times New Roman"/>
          <w:b/>
          <w:bCs/>
        </w:rPr>
        <w:t>Mary Cassatt (1844–1926)</w:t>
      </w:r>
    </w:p>
    <w:p w:rsidR="00376A5A" w:rsidRPr="00B92560" w:rsidRDefault="00D45E62" w:rsidP="00B92560">
      <w:pPr>
        <w:spacing w:before="100" w:beforeAutospacing="1" w:after="100" w:afterAutospacing="1" w:line="480" w:lineRule="auto"/>
        <w:ind w:firstLine="720"/>
        <w:outlineLvl w:val="2"/>
        <w:rPr>
          <w:rFonts w:eastAsia="Times New Roman"/>
          <w:bCs/>
        </w:rPr>
      </w:pPr>
      <w:r w:rsidRPr="00B92560">
        <w:rPr>
          <w:rFonts w:eastAsia="Times New Roman"/>
          <w:bCs/>
        </w:rPr>
        <w:t>Cassatt is the most well-known of the Impressionist female artists, having been born in the topmost household. Before traveling to Paris in 1866, she graduated from the Pennsylvania Academy of the Fine Arts in Philadelphia. She became renowned for romantic domestic dramas with girls and women as the main topic after becoming a mentor and supporter of Degas. Later in her profession, the era trend in France for Japanese visual art influenced her career. By 1914, she was nearly blind and had given up producing paintings</w:t>
      </w:r>
      <w:r w:rsidR="00146D7A">
        <w:rPr>
          <w:rStyle w:val="FootnoteReference"/>
          <w:rFonts w:eastAsia="Times New Roman"/>
          <w:bCs/>
        </w:rPr>
        <w:footnoteReference w:id="6"/>
      </w:r>
      <w:r w:rsidRPr="00B92560">
        <w:rPr>
          <w:rFonts w:eastAsia="Times New Roman"/>
          <w:bCs/>
        </w:rPr>
        <w:t>. She would stay for the next couple of months before dying from outside Paris at Château de Beaufresne.</w:t>
      </w:r>
    </w:p>
    <w:p w:rsidR="00743089" w:rsidRDefault="00743089" w:rsidP="00B92560">
      <w:pPr>
        <w:spacing w:before="100" w:beforeAutospacing="1" w:after="100" w:afterAutospacing="1" w:line="480" w:lineRule="auto"/>
        <w:outlineLvl w:val="2"/>
        <w:rPr>
          <w:rFonts w:eastAsia="Times New Roman"/>
          <w:b/>
          <w:bCs/>
        </w:rPr>
      </w:pPr>
    </w:p>
    <w:p w:rsidR="00743089" w:rsidRDefault="00743089" w:rsidP="00B92560">
      <w:pPr>
        <w:spacing w:before="100" w:beforeAutospacing="1" w:after="100" w:afterAutospacing="1" w:line="480" w:lineRule="auto"/>
        <w:outlineLvl w:val="2"/>
        <w:rPr>
          <w:rFonts w:eastAsia="Times New Roman"/>
          <w:b/>
          <w:bCs/>
        </w:rPr>
      </w:pPr>
    </w:p>
    <w:p w:rsidR="00376A5A" w:rsidRPr="00B92560" w:rsidRDefault="00D45E62" w:rsidP="00B92560">
      <w:pPr>
        <w:spacing w:before="100" w:beforeAutospacing="1" w:after="100" w:afterAutospacing="1" w:line="480" w:lineRule="auto"/>
        <w:outlineLvl w:val="2"/>
        <w:rPr>
          <w:rFonts w:eastAsia="Times New Roman"/>
          <w:b/>
          <w:bCs/>
        </w:rPr>
      </w:pPr>
      <w:bookmarkStart w:id="0" w:name="_GoBack"/>
      <w:bookmarkEnd w:id="0"/>
      <w:r w:rsidRPr="00B92560">
        <w:rPr>
          <w:rFonts w:eastAsia="Times New Roman"/>
          <w:b/>
          <w:bCs/>
        </w:rPr>
        <w:lastRenderedPageBreak/>
        <w:t xml:space="preserve">Frederic Church (1826–1900) </w:t>
      </w:r>
    </w:p>
    <w:p w:rsidR="00376A5A" w:rsidRDefault="00146D7A" w:rsidP="00B92560">
      <w:pPr>
        <w:spacing w:before="100" w:beforeAutospacing="1" w:after="100" w:afterAutospacing="1" w:line="480" w:lineRule="auto"/>
        <w:ind w:firstLine="720"/>
        <w:outlineLvl w:val="2"/>
        <w:rPr>
          <w:rFonts w:eastAsia="Times New Roman"/>
          <w:bCs/>
        </w:rPr>
      </w:pPr>
      <w:r>
        <w:rPr>
          <w:rStyle w:val="FootnoteReference"/>
          <w:rFonts w:eastAsia="Times New Roman"/>
          <w:bCs/>
        </w:rPr>
        <w:footnoteReference w:id="7"/>
      </w:r>
      <w:r w:rsidR="00D45E62" w:rsidRPr="00B92560">
        <w:rPr>
          <w:rFonts w:eastAsia="Times New Roman"/>
          <w:bCs/>
        </w:rPr>
        <w:t>Americans tend to romanticize the Nation's scenery, and Frederic Church was one of the architects who contributed to this mythologizing through canvases that took the USA's outdoors indoors. Church was one of the members of Hudson River School, a team of artists who based their work on the best-known waterway's exquisite beauty. He also painted scenarios of exotic areas worldwide, including the Aegean Sea, Andes Mountains, and images of the Catskills, Niagara Falls, and the Maine coast</w:t>
      </w:r>
      <w:r w:rsidR="00F404AC">
        <w:rPr>
          <w:rStyle w:val="FootnoteReference"/>
          <w:rFonts w:eastAsia="Times New Roman"/>
          <w:bCs/>
        </w:rPr>
        <w:footnoteReference w:id="8"/>
      </w:r>
      <w:r w:rsidR="00D45E62" w:rsidRPr="00B92560">
        <w:rPr>
          <w:rFonts w:eastAsia="Times New Roman"/>
          <w:bCs/>
        </w:rPr>
        <w:t>.</w:t>
      </w:r>
    </w:p>
    <w:p w:rsidR="00F404AC" w:rsidRDefault="00F404AC" w:rsidP="00B92560">
      <w:pPr>
        <w:spacing w:before="100" w:beforeAutospacing="1" w:after="100" w:afterAutospacing="1" w:line="480" w:lineRule="auto"/>
        <w:ind w:firstLine="720"/>
        <w:outlineLvl w:val="2"/>
        <w:rPr>
          <w:rFonts w:eastAsia="Times New Roman"/>
          <w:bCs/>
        </w:rPr>
      </w:pPr>
    </w:p>
    <w:p w:rsidR="00F404AC" w:rsidRDefault="00F404AC" w:rsidP="00B92560">
      <w:pPr>
        <w:spacing w:before="100" w:beforeAutospacing="1" w:after="100" w:afterAutospacing="1" w:line="480" w:lineRule="auto"/>
        <w:ind w:firstLine="720"/>
        <w:outlineLvl w:val="2"/>
        <w:rPr>
          <w:rFonts w:eastAsia="Times New Roman"/>
          <w:bCs/>
        </w:rPr>
      </w:pPr>
    </w:p>
    <w:p w:rsidR="00F404AC" w:rsidRDefault="00F404AC" w:rsidP="00B92560">
      <w:pPr>
        <w:spacing w:before="100" w:beforeAutospacing="1" w:after="100" w:afterAutospacing="1" w:line="480" w:lineRule="auto"/>
        <w:ind w:firstLine="720"/>
        <w:outlineLvl w:val="2"/>
        <w:rPr>
          <w:rFonts w:eastAsia="Times New Roman"/>
          <w:bCs/>
        </w:rPr>
      </w:pPr>
    </w:p>
    <w:p w:rsidR="00F404AC" w:rsidRDefault="00F404AC" w:rsidP="00B92560">
      <w:pPr>
        <w:spacing w:before="100" w:beforeAutospacing="1" w:after="100" w:afterAutospacing="1" w:line="480" w:lineRule="auto"/>
        <w:ind w:firstLine="720"/>
        <w:outlineLvl w:val="2"/>
        <w:rPr>
          <w:rFonts w:eastAsia="Times New Roman"/>
          <w:bCs/>
        </w:rPr>
      </w:pPr>
    </w:p>
    <w:p w:rsidR="00F404AC" w:rsidRDefault="00F404AC" w:rsidP="00B92560">
      <w:pPr>
        <w:spacing w:before="100" w:beforeAutospacing="1" w:after="100" w:afterAutospacing="1" w:line="480" w:lineRule="auto"/>
        <w:ind w:firstLine="720"/>
        <w:outlineLvl w:val="2"/>
        <w:rPr>
          <w:rFonts w:eastAsia="Times New Roman"/>
          <w:bCs/>
        </w:rPr>
      </w:pPr>
    </w:p>
    <w:p w:rsidR="00F404AC" w:rsidRDefault="00F404AC" w:rsidP="00B92560">
      <w:pPr>
        <w:spacing w:before="100" w:beforeAutospacing="1" w:after="100" w:afterAutospacing="1" w:line="480" w:lineRule="auto"/>
        <w:ind w:firstLine="720"/>
        <w:outlineLvl w:val="2"/>
        <w:rPr>
          <w:rFonts w:eastAsia="Times New Roman"/>
          <w:bCs/>
        </w:rPr>
      </w:pPr>
    </w:p>
    <w:p w:rsidR="00F404AC" w:rsidRDefault="00F404AC" w:rsidP="00B92560">
      <w:pPr>
        <w:spacing w:before="100" w:beforeAutospacing="1" w:after="100" w:afterAutospacing="1" w:line="480" w:lineRule="auto"/>
        <w:ind w:firstLine="720"/>
        <w:outlineLvl w:val="2"/>
        <w:rPr>
          <w:rFonts w:eastAsia="Times New Roman"/>
          <w:bCs/>
        </w:rPr>
      </w:pPr>
    </w:p>
    <w:p w:rsidR="00F404AC" w:rsidRDefault="00F404AC" w:rsidP="00B92560">
      <w:pPr>
        <w:spacing w:before="100" w:beforeAutospacing="1" w:after="100" w:afterAutospacing="1" w:line="480" w:lineRule="auto"/>
        <w:ind w:firstLine="720"/>
        <w:outlineLvl w:val="2"/>
        <w:rPr>
          <w:rFonts w:eastAsia="Times New Roman"/>
          <w:bCs/>
        </w:rPr>
      </w:pPr>
    </w:p>
    <w:p w:rsidR="00F404AC" w:rsidRDefault="00F404AC" w:rsidP="00B92560">
      <w:pPr>
        <w:spacing w:before="100" w:beforeAutospacing="1" w:after="100" w:afterAutospacing="1" w:line="480" w:lineRule="auto"/>
        <w:ind w:firstLine="720"/>
        <w:outlineLvl w:val="2"/>
        <w:rPr>
          <w:rFonts w:eastAsia="Times New Roman"/>
          <w:bCs/>
        </w:rPr>
      </w:pPr>
    </w:p>
    <w:p w:rsidR="00F404AC" w:rsidRDefault="00F404AC" w:rsidP="00B92560">
      <w:pPr>
        <w:spacing w:before="100" w:beforeAutospacing="1" w:after="100" w:afterAutospacing="1" w:line="480" w:lineRule="auto"/>
        <w:ind w:firstLine="720"/>
        <w:outlineLvl w:val="2"/>
        <w:rPr>
          <w:rFonts w:eastAsia="Times New Roman"/>
          <w:bCs/>
        </w:rPr>
      </w:pPr>
    </w:p>
    <w:p w:rsidR="00F404AC" w:rsidRDefault="00F404AC" w:rsidP="00B92560">
      <w:pPr>
        <w:spacing w:before="100" w:beforeAutospacing="1" w:after="100" w:afterAutospacing="1" w:line="480" w:lineRule="auto"/>
        <w:ind w:firstLine="720"/>
        <w:outlineLvl w:val="2"/>
        <w:rPr>
          <w:rFonts w:eastAsia="Times New Roman"/>
          <w:bCs/>
        </w:rPr>
      </w:pPr>
    </w:p>
    <w:p w:rsidR="00F404AC" w:rsidRPr="00B92560" w:rsidRDefault="00F404AC" w:rsidP="00B92560">
      <w:pPr>
        <w:spacing w:before="100" w:beforeAutospacing="1" w:after="100" w:afterAutospacing="1" w:line="480" w:lineRule="auto"/>
        <w:ind w:firstLine="720"/>
        <w:outlineLvl w:val="2"/>
        <w:rPr>
          <w:rFonts w:eastAsia="Times New Roman"/>
          <w:bCs/>
        </w:rPr>
      </w:pPr>
    </w:p>
    <w:p w:rsidR="006A46DF" w:rsidRPr="00B92560" w:rsidRDefault="006A46DF" w:rsidP="00B92560">
      <w:pPr>
        <w:spacing w:line="480" w:lineRule="auto"/>
      </w:pPr>
    </w:p>
    <w:sdt>
      <w:sdtPr>
        <w:id w:val="786785646"/>
        <w:docPartObj>
          <w:docPartGallery w:val="Bibliographies"/>
          <w:docPartUnique/>
        </w:docPartObj>
      </w:sdtPr>
      <w:sdtEndPr>
        <w:rPr>
          <w:rFonts w:ascii="Times New Roman" w:eastAsiaTheme="minorHAnsi" w:hAnsi="Times New Roman" w:cs="Times New Roman"/>
          <w:color w:val="auto"/>
          <w:sz w:val="24"/>
          <w:szCs w:val="24"/>
        </w:rPr>
      </w:sdtEndPr>
      <w:sdtContent>
        <w:p w:rsidR="00146D7A" w:rsidRDefault="00146D7A" w:rsidP="00146D7A">
          <w:pPr>
            <w:pStyle w:val="Heading1"/>
            <w:jc w:val="center"/>
          </w:pPr>
          <w:r>
            <w:t>Bibliography</w:t>
          </w:r>
        </w:p>
        <w:sdt>
          <w:sdtPr>
            <w:id w:val="111145805"/>
            <w:bibliography/>
          </w:sdtPr>
          <w:sdtContent>
            <w:p w:rsidR="00146D7A" w:rsidRPr="00146D7A" w:rsidRDefault="00146D7A" w:rsidP="00146D7A">
              <w:pPr>
                <w:spacing w:line="480" w:lineRule="auto"/>
                <w:ind w:left="720" w:hanging="720"/>
              </w:pPr>
              <w:r w:rsidRPr="00146D7A">
                <w:t>Avery, Kevin J. "Frederic Edwin Church (1826–1900).</w:t>
              </w:r>
              <w:proofErr w:type="gramStart"/>
              <w:r w:rsidRPr="00146D7A">
                <w:t>”​.</w:t>
              </w:r>
              <w:proofErr w:type="gramEnd"/>
              <w:r w:rsidRPr="00146D7A">
                <w:t>" </w:t>
              </w:r>
              <w:proofErr w:type="spellStart"/>
              <w:r w:rsidRPr="00146D7A">
                <w:rPr>
                  <w:i/>
                  <w:iCs/>
                </w:rPr>
                <w:t>Heilbrunn</w:t>
              </w:r>
              <w:proofErr w:type="spellEnd"/>
              <w:r w:rsidRPr="00146D7A">
                <w:rPr>
                  <w:i/>
                  <w:iCs/>
                </w:rPr>
                <w:t xml:space="preserve"> Timeline of Art History</w:t>
              </w:r>
              <w:r w:rsidRPr="00146D7A">
                <w:t> (2009).</w:t>
              </w:r>
            </w:p>
            <w:p w:rsidR="00146D7A" w:rsidRPr="00146D7A" w:rsidRDefault="00146D7A" w:rsidP="00146D7A">
              <w:pPr>
                <w:spacing w:line="480" w:lineRule="auto"/>
                <w:ind w:left="720" w:hanging="720"/>
              </w:pPr>
              <w:r w:rsidRPr="00146D7A">
                <w:t>Cornelius, Carol. </w:t>
              </w:r>
              <w:r w:rsidRPr="00146D7A">
                <w:rPr>
                  <w:i/>
                  <w:iCs/>
                </w:rPr>
                <w:t>Iroquois corn in a culture-based curriculum: A framework for respectfully teaching about cultures</w:t>
              </w:r>
              <w:r w:rsidRPr="00146D7A">
                <w:t>. SUNY Press, 1999.</w:t>
              </w:r>
            </w:p>
            <w:p w:rsidR="00146D7A" w:rsidRPr="00146D7A" w:rsidRDefault="00146D7A" w:rsidP="00146D7A">
              <w:pPr>
                <w:spacing w:line="480" w:lineRule="auto"/>
                <w:ind w:left="720" w:hanging="720"/>
              </w:pPr>
              <w:proofErr w:type="spellStart"/>
              <w:r w:rsidRPr="00146D7A">
                <w:t>Koepsell</w:t>
              </w:r>
              <w:proofErr w:type="spellEnd"/>
              <w:r w:rsidRPr="00146D7A">
                <w:t>, Thomas. "Mary Cassatt (1844–1926)." </w:t>
              </w:r>
              <w:r w:rsidRPr="00146D7A">
                <w:rPr>
                  <w:i/>
                  <w:iCs/>
                </w:rPr>
                <w:t>Archives of Pediatrics &amp; Adolescent Medicine</w:t>
              </w:r>
              <w:r w:rsidRPr="00146D7A">
                <w:t> 159, no. 4 (2005): 314-314.</w:t>
              </w:r>
            </w:p>
            <w:p w:rsidR="00146D7A" w:rsidRPr="00146D7A" w:rsidRDefault="00146D7A" w:rsidP="00146D7A">
              <w:pPr>
                <w:spacing w:line="480" w:lineRule="auto"/>
                <w:ind w:left="720" w:hanging="720"/>
              </w:pPr>
              <w:r w:rsidRPr="00146D7A">
                <w:t>Landau, Ellen G. </w:t>
              </w:r>
              <w:r w:rsidRPr="00146D7A">
                <w:rPr>
                  <w:i/>
                  <w:iCs/>
                </w:rPr>
                <w:t>Jackson Pollock</w:t>
              </w:r>
              <w:r w:rsidRPr="00146D7A">
                <w:t>. New York: Abrams, 1989.</w:t>
              </w:r>
            </w:p>
            <w:p w:rsidR="00146D7A" w:rsidRPr="00146D7A" w:rsidRDefault="00146D7A" w:rsidP="00146D7A">
              <w:pPr>
                <w:spacing w:line="480" w:lineRule="auto"/>
                <w:ind w:left="720" w:hanging="720"/>
              </w:pPr>
              <w:r w:rsidRPr="00146D7A">
                <w:t xml:space="preserve">Nakamura, </w:t>
              </w:r>
              <w:proofErr w:type="spellStart"/>
              <w:r w:rsidRPr="00146D7A">
                <w:t>Naohiro</w:t>
              </w:r>
              <w:proofErr w:type="spellEnd"/>
              <w:r w:rsidRPr="00146D7A">
                <w:t xml:space="preserve">. "Indigenous cultural self-representation and its internal critiques: a case study of the Woodland cultural </w:t>
              </w:r>
              <w:proofErr w:type="spellStart"/>
              <w:r w:rsidRPr="00146D7A">
                <w:t>centre</w:t>
              </w:r>
              <w:proofErr w:type="spellEnd"/>
              <w:r w:rsidRPr="00146D7A">
                <w:t>, Canada." </w:t>
              </w:r>
              <w:r w:rsidRPr="00146D7A">
                <w:rPr>
                  <w:i/>
                  <w:iCs/>
                </w:rPr>
                <w:t>Diaspora, Indigenous, and Minority Education</w:t>
              </w:r>
              <w:r w:rsidRPr="00146D7A">
                <w:t> 8, no. 3 (2014): 145-154.</w:t>
              </w:r>
            </w:p>
            <w:p w:rsidR="00146D7A" w:rsidRDefault="00146D7A"/>
          </w:sdtContent>
        </w:sdt>
      </w:sdtContent>
    </w:sdt>
    <w:p w:rsidR="006A46DF" w:rsidRPr="00B92560" w:rsidRDefault="006A46DF">
      <w:pPr>
        <w:spacing w:line="480" w:lineRule="auto"/>
        <w:rPr>
          <w:b/>
        </w:rPr>
      </w:pPr>
    </w:p>
    <w:sectPr w:rsidR="006A46DF" w:rsidRPr="00B925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9EF" w:rsidRDefault="005939EF" w:rsidP="006A46DF">
      <w:pPr>
        <w:spacing w:after="0" w:line="240" w:lineRule="auto"/>
      </w:pPr>
      <w:r>
        <w:separator/>
      </w:r>
    </w:p>
  </w:endnote>
  <w:endnote w:type="continuationSeparator" w:id="0">
    <w:p w:rsidR="005939EF" w:rsidRDefault="005939EF" w:rsidP="006A4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9EF" w:rsidRDefault="005939EF" w:rsidP="006A46DF">
      <w:pPr>
        <w:spacing w:after="0" w:line="240" w:lineRule="auto"/>
      </w:pPr>
      <w:r>
        <w:separator/>
      </w:r>
    </w:p>
  </w:footnote>
  <w:footnote w:type="continuationSeparator" w:id="0">
    <w:p w:rsidR="005939EF" w:rsidRDefault="005939EF" w:rsidP="006A46DF">
      <w:pPr>
        <w:spacing w:after="0" w:line="240" w:lineRule="auto"/>
      </w:pPr>
      <w:r>
        <w:continuationSeparator/>
      </w:r>
    </w:p>
  </w:footnote>
  <w:footnote w:id="1">
    <w:p w:rsidR="00146D7A" w:rsidRDefault="00146D7A">
      <w:pPr>
        <w:pStyle w:val="FootnoteText"/>
      </w:pPr>
      <w:r>
        <w:rPr>
          <w:rStyle w:val="FootnoteReference"/>
        </w:rPr>
        <w:footnoteRef/>
      </w:r>
      <w:r w:rsidRPr="00146D7A">
        <w:t>Cornelius, Carol. </w:t>
      </w:r>
      <w:r w:rsidRPr="00146D7A">
        <w:rPr>
          <w:i/>
          <w:iCs/>
        </w:rPr>
        <w:t>Iroquois corn in a culture-based curriculum: A framework for respectfully teaching about cultures</w:t>
      </w:r>
      <w:r w:rsidRPr="00146D7A">
        <w:t>. SUNY Press, 1999.</w:t>
      </w:r>
      <w:r>
        <w:t xml:space="preserve"> </w:t>
      </w:r>
    </w:p>
  </w:footnote>
  <w:footnote w:id="2">
    <w:p w:rsidR="00146D7A" w:rsidRDefault="00146D7A">
      <w:pPr>
        <w:pStyle w:val="FootnoteText"/>
      </w:pPr>
      <w:r>
        <w:rPr>
          <w:rStyle w:val="FootnoteReference"/>
        </w:rPr>
        <w:footnoteRef/>
      </w:r>
      <w:r>
        <w:t xml:space="preserve"> </w:t>
      </w:r>
      <w:r w:rsidRPr="00146D7A">
        <w:t>Cornelius, Carol. </w:t>
      </w:r>
      <w:r w:rsidRPr="00146D7A">
        <w:rPr>
          <w:i/>
          <w:iCs/>
        </w:rPr>
        <w:t>Iroquois corn in a culture-based curriculum: A framework for respectfully teaching about cultures</w:t>
      </w:r>
      <w:r w:rsidRPr="00146D7A">
        <w:t>. SUNY Press, 1999.</w:t>
      </w:r>
    </w:p>
  </w:footnote>
  <w:footnote w:id="3">
    <w:p w:rsidR="006A46DF" w:rsidRDefault="006A46DF">
      <w:pPr>
        <w:pStyle w:val="FootnoteText"/>
      </w:pPr>
      <w:r>
        <w:rPr>
          <w:rStyle w:val="FootnoteReference"/>
        </w:rPr>
        <w:footnoteRef/>
      </w:r>
      <w:r>
        <w:t xml:space="preserve"> </w:t>
      </w:r>
      <w:r w:rsidRPr="006A46DF">
        <w:t xml:space="preserve">Nakamura, </w:t>
      </w:r>
      <w:proofErr w:type="spellStart"/>
      <w:r w:rsidRPr="006A46DF">
        <w:t>Naohiro</w:t>
      </w:r>
      <w:proofErr w:type="spellEnd"/>
      <w:r w:rsidRPr="006A46DF">
        <w:t xml:space="preserve">. "Indigenous cultural self-representation and its internal critiques: a case study of the Woodland cultural </w:t>
      </w:r>
      <w:proofErr w:type="spellStart"/>
      <w:r w:rsidRPr="006A46DF">
        <w:t>centre</w:t>
      </w:r>
      <w:proofErr w:type="spellEnd"/>
      <w:r w:rsidRPr="006A46DF">
        <w:t>, Canada." </w:t>
      </w:r>
      <w:r w:rsidRPr="006A46DF">
        <w:rPr>
          <w:i/>
          <w:iCs/>
        </w:rPr>
        <w:t>Diaspora, Indigenous, and Minority Education</w:t>
      </w:r>
      <w:r w:rsidRPr="006A46DF">
        <w:t> 8, no. 3 (2014): 145-154.</w:t>
      </w:r>
    </w:p>
  </w:footnote>
  <w:footnote w:id="4">
    <w:p w:rsidR="006A46DF" w:rsidRDefault="006A46DF">
      <w:pPr>
        <w:pStyle w:val="FootnoteText"/>
      </w:pPr>
      <w:r>
        <w:rPr>
          <w:rStyle w:val="FootnoteReference"/>
        </w:rPr>
        <w:footnoteRef/>
      </w:r>
      <w:r>
        <w:t xml:space="preserve"> </w:t>
      </w:r>
      <w:r w:rsidRPr="006A46DF">
        <w:t xml:space="preserve">Nakamura, </w:t>
      </w:r>
      <w:proofErr w:type="spellStart"/>
      <w:r w:rsidRPr="006A46DF">
        <w:t>Naohiro</w:t>
      </w:r>
      <w:proofErr w:type="spellEnd"/>
      <w:r w:rsidRPr="006A46DF">
        <w:t xml:space="preserve">. "Indigenous cultural self-representation and its internal critiques: a case study of the Woodland cultural </w:t>
      </w:r>
      <w:proofErr w:type="spellStart"/>
      <w:r w:rsidRPr="006A46DF">
        <w:t>centre</w:t>
      </w:r>
      <w:proofErr w:type="spellEnd"/>
      <w:r w:rsidRPr="006A46DF">
        <w:t>, Canada." </w:t>
      </w:r>
      <w:r w:rsidRPr="006A46DF">
        <w:rPr>
          <w:i/>
          <w:iCs/>
        </w:rPr>
        <w:t>Diaspora, Indigenous, and Minority Education</w:t>
      </w:r>
      <w:r w:rsidRPr="006A46DF">
        <w:t> 8, no. 3 (2014): 145-154.</w:t>
      </w:r>
    </w:p>
  </w:footnote>
  <w:footnote w:id="5">
    <w:p w:rsidR="006A46DF" w:rsidRDefault="006A46DF">
      <w:pPr>
        <w:pStyle w:val="FootnoteText"/>
      </w:pPr>
      <w:r>
        <w:rPr>
          <w:rStyle w:val="FootnoteReference"/>
        </w:rPr>
        <w:footnoteRef/>
      </w:r>
      <w:r>
        <w:t xml:space="preserve"> </w:t>
      </w:r>
      <w:r w:rsidRPr="006A46DF">
        <w:t>Landau, Ellen G. </w:t>
      </w:r>
      <w:r w:rsidRPr="006A46DF">
        <w:rPr>
          <w:i/>
          <w:iCs/>
        </w:rPr>
        <w:t>Jackson Pollock</w:t>
      </w:r>
      <w:r w:rsidRPr="006A46DF">
        <w:t>. New York: Abrams, 1989.</w:t>
      </w:r>
    </w:p>
  </w:footnote>
  <w:footnote w:id="6">
    <w:p w:rsidR="00146D7A" w:rsidRDefault="00146D7A">
      <w:pPr>
        <w:pStyle w:val="FootnoteText"/>
      </w:pPr>
      <w:r>
        <w:rPr>
          <w:rStyle w:val="FootnoteReference"/>
        </w:rPr>
        <w:footnoteRef/>
      </w:r>
      <w:r>
        <w:t xml:space="preserve"> </w:t>
      </w:r>
      <w:proofErr w:type="spellStart"/>
      <w:r w:rsidRPr="00146D7A">
        <w:t>Koepsell</w:t>
      </w:r>
      <w:proofErr w:type="spellEnd"/>
      <w:r w:rsidRPr="00146D7A">
        <w:t>, Thomas. "Mary Cassatt (1844–1926)." </w:t>
      </w:r>
      <w:r w:rsidRPr="00146D7A">
        <w:rPr>
          <w:i/>
          <w:iCs/>
        </w:rPr>
        <w:t>Archives of Pediatrics &amp; Adolescent Medicine</w:t>
      </w:r>
      <w:r w:rsidRPr="00146D7A">
        <w:t> 159, no. 4 (2005): 314-314.</w:t>
      </w:r>
    </w:p>
  </w:footnote>
  <w:footnote w:id="7">
    <w:p w:rsidR="00146D7A" w:rsidRDefault="00146D7A">
      <w:pPr>
        <w:pStyle w:val="FootnoteText"/>
      </w:pPr>
      <w:r>
        <w:rPr>
          <w:rStyle w:val="FootnoteReference"/>
        </w:rPr>
        <w:footnoteRef/>
      </w:r>
      <w:r>
        <w:t xml:space="preserve"> </w:t>
      </w:r>
      <w:r w:rsidRPr="00146D7A">
        <w:t>Avery, Kevin J. "Frederic Edwin Church (1826–1900).</w:t>
      </w:r>
      <w:proofErr w:type="gramStart"/>
      <w:r w:rsidRPr="00146D7A">
        <w:t>”​.</w:t>
      </w:r>
      <w:proofErr w:type="gramEnd"/>
      <w:r w:rsidRPr="00146D7A">
        <w:t>" </w:t>
      </w:r>
      <w:proofErr w:type="spellStart"/>
      <w:r w:rsidRPr="00146D7A">
        <w:rPr>
          <w:i/>
          <w:iCs/>
        </w:rPr>
        <w:t>Heilbrunn</w:t>
      </w:r>
      <w:proofErr w:type="spellEnd"/>
      <w:r w:rsidRPr="00146D7A">
        <w:rPr>
          <w:i/>
          <w:iCs/>
        </w:rPr>
        <w:t xml:space="preserve"> Timeline of Art History</w:t>
      </w:r>
      <w:r w:rsidRPr="00146D7A">
        <w:t> (2009).</w:t>
      </w:r>
    </w:p>
  </w:footnote>
  <w:footnote w:id="8">
    <w:p w:rsidR="00F404AC" w:rsidRPr="00F404AC" w:rsidRDefault="00F404AC" w:rsidP="00F404AC">
      <w:pPr>
        <w:pStyle w:val="FootnoteText"/>
      </w:pPr>
      <w:r>
        <w:rPr>
          <w:rStyle w:val="FootnoteReference"/>
        </w:rPr>
        <w:footnoteRef/>
      </w:r>
      <w:r>
        <w:t xml:space="preserve"> </w:t>
      </w:r>
      <w:r w:rsidRPr="00F404AC">
        <w:t>Avery, Kevin J. "Frederic Edwin Church (1826–1900).</w:t>
      </w:r>
      <w:proofErr w:type="gramStart"/>
      <w:r w:rsidRPr="00F404AC">
        <w:t>”​.</w:t>
      </w:r>
      <w:proofErr w:type="gramEnd"/>
      <w:r w:rsidRPr="00F404AC">
        <w:t>" </w:t>
      </w:r>
      <w:proofErr w:type="spellStart"/>
      <w:r w:rsidRPr="00F404AC">
        <w:rPr>
          <w:i/>
          <w:iCs/>
        </w:rPr>
        <w:t>Heilbrunn</w:t>
      </w:r>
      <w:proofErr w:type="spellEnd"/>
      <w:r w:rsidRPr="00F404AC">
        <w:rPr>
          <w:i/>
          <w:iCs/>
        </w:rPr>
        <w:t xml:space="preserve"> Timeline of Art History</w:t>
      </w:r>
      <w:r w:rsidRPr="00F404AC">
        <w:t> (2009).</w:t>
      </w:r>
    </w:p>
    <w:p w:rsidR="00F404AC" w:rsidRDefault="00F404AC">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A5A"/>
    <w:rsid w:val="001413FF"/>
    <w:rsid w:val="00146D7A"/>
    <w:rsid w:val="001F5082"/>
    <w:rsid w:val="00241B75"/>
    <w:rsid w:val="003023E7"/>
    <w:rsid w:val="00376A5A"/>
    <w:rsid w:val="00380F14"/>
    <w:rsid w:val="00407872"/>
    <w:rsid w:val="00412918"/>
    <w:rsid w:val="005939EF"/>
    <w:rsid w:val="006738C6"/>
    <w:rsid w:val="006A46DF"/>
    <w:rsid w:val="00731670"/>
    <w:rsid w:val="00743089"/>
    <w:rsid w:val="0086044E"/>
    <w:rsid w:val="0092223D"/>
    <w:rsid w:val="009546C0"/>
    <w:rsid w:val="00A63FFD"/>
    <w:rsid w:val="00B07FAF"/>
    <w:rsid w:val="00B92560"/>
    <w:rsid w:val="00BF05E6"/>
    <w:rsid w:val="00C93CA0"/>
    <w:rsid w:val="00D45E62"/>
    <w:rsid w:val="00DA0CE0"/>
    <w:rsid w:val="00DF13B2"/>
    <w:rsid w:val="00F40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B1660"/>
  <w15:docId w15:val="{7FAC5CFE-4CBB-4682-8295-0C70D7FA1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6A5A"/>
  </w:style>
  <w:style w:type="paragraph" w:styleId="Heading1">
    <w:name w:val="heading 1"/>
    <w:basedOn w:val="Normal"/>
    <w:next w:val="Normal"/>
    <w:link w:val="Heading1Char"/>
    <w:uiPriority w:val="9"/>
    <w:qFormat/>
    <w:rsid w:val="00146D7A"/>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6A5A"/>
    <w:pPr>
      <w:spacing w:before="100" w:beforeAutospacing="1" w:after="100" w:afterAutospacing="1" w:line="240" w:lineRule="auto"/>
    </w:pPr>
    <w:rPr>
      <w:rFonts w:eastAsia="Times New Roman"/>
    </w:rPr>
  </w:style>
  <w:style w:type="paragraph" w:customStyle="1" w:styleId="topic-paragraph">
    <w:name w:val="topic-paragraph"/>
    <w:basedOn w:val="Normal"/>
    <w:rsid w:val="00376A5A"/>
    <w:pPr>
      <w:spacing w:before="100" w:beforeAutospacing="1" w:after="100" w:afterAutospacing="1" w:line="240" w:lineRule="auto"/>
    </w:pPr>
    <w:rPr>
      <w:rFonts w:eastAsia="Times New Roman"/>
    </w:rPr>
  </w:style>
  <w:style w:type="paragraph" w:styleId="FootnoteText">
    <w:name w:val="footnote text"/>
    <w:basedOn w:val="Normal"/>
    <w:link w:val="FootnoteTextChar"/>
    <w:uiPriority w:val="99"/>
    <w:semiHidden/>
    <w:unhideWhenUsed/>
    <w:rsid w:val="006A46D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46DF"/>
    <w:rPr>
      <w:sz w:val="20"/>
      <w:szCs w:val="20"/>
    </w:rPr>
  </w:style>
  <w:style w:type="character" w:styleId="FootnoteReference">
    <w:name w:val="footnote reference"/>
    <w:basedOn w:val="DefaultParagraphFont"/>
    <w:uiPriority w:val="99"/>
    <w:semiHidden/>
    <w:unhideWhenUsed/>
    <w:rsid w:val="006A46DF"/>
    <w:rPr>
      <w:vertAlign w:val="superscript"/>
    </w:rPr>
  </w:style>
  <w:style w:type="character" w:customStyle="1" w:styleId="Heading1Char">
    <w:name w:val="Heading 1 Char"/>
    <w:basedOn w:val="DefaultParagraphFont"/>
    <w:link w:val="Heading1"/>
    <w:uiPriority w:val="9"/>
    <w:rsid w:val="00146D7A"/>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22E2D-ABBA-4E16-947A-809EE915A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1288</Words>
  <Characters>7345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SAM SAM</cp:lastModifiedBy>
  <cp:revision>29</cp:revision>
  <dcterms:created xsi:type="dcterms:W3CDTF">2021-05-11T12:42:00Z</dcterms:created>
  <dcterms:modified xsi:type="dcterms:W3CDTF">2021-05-12T10:52:00Z</dcterms:modified>
</cp:coreProperties>
</file>