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68776" w14:textId="77777777" w:rsidR="00EE02C7" w:rsidRDefault="00EE02C7" w:rsidP="00143BEB">
      <w:pPr>
        <w:spacing w:line="480" w:lineRule="auto"/>
        <w:rPr>
          <w:rFonts w:ascii="Times New Roman" w:hAnsi="Times New Roman" w:cs="Times New Roman"/>
          <w:color w:val="2D2D2D"/>
          <w:sz w:val="24"/>
          <w:szCs w:val="24"/>
          <w:shd w:val="clear" w:color="auto" w:fill="FFFFFF"/>
        </w:rPr>
      </w:pPr>
      <w:r>
        <w:rPr>
          <w:rFonts w:ascii="Times New Roman" w:hAnsi="Times New Roman" w:cs="Times New Roman"/>
          <w:color w:val="2D2D2D"/>
          <w:sz w:val="24"/>
          <w:szCs w:val="24"/>
          <w:shd w:val="clear" w:color="auto" w:fill="FFFFFF"/>
        </w:rPr>
        <w:t>Name of the student:</w:t>
      </w:r>
    </w:p>
    <w:p w14:paraId="7B176CF7" w14:textId="77777777" w:rsidR="00EE02C7" w:rsidRDefault="00EE02C7" w:rsidP="00143BEB">
      <w:pPr>
        <w:spacing w:line="480" w:lineRule="auto"/>
        <w:rPr>
          <w:rFonts w:ascii="Times New Roman" w:hAnsi="Times New Roman" w:cs="Times New Roman"/>
          <w:color w:val="2D2D2D"/>
          <w:sz w:val="24"/>
          <w:szCs w:val="24"/>
          <w:shd w:val="clear" w:color="auto" w:fill="FFFFFF"/>
        </w:rPr>
      </w:pPr>
      <w:r>
        <w:rPr>
          <w:rFonts w:ascii="Times New Roman" w:hAnsi="Times New Roman" w:cs="Times New Roman"/>
          <w:color w:val="2D2D2D"/>
          <w:sz w:val="24"/>
          <w:szCs w:val="24"/>
          <w:shd w:val="clear" w:color="auto" w:fill="FFFFFF"/>
        </w:rPr>
        <w:t>Professor:</w:t>
      </w:r>
    </w:p>
    <w:p w14:paraId="4CBC3B4A" w14:textId="77777777" w:rsidR="00EE02C7" w:rsidRDefault="00EE02C7" w:rsidP="00143BEB">
      <w:pPr>
        <w:spacing w:line="480" w:lineRule="auto"/>
        <w:rPr>
          <w:rFonts w:ascii="Times New Roman" w:hAnsi="Times New Roman" w:cs="Times New Roman"/>
          <w:color w:val="2D2D2D"/>
          <w:sz w:val="24"/>
          <w:szCs w:val="24"/>
          <w:shd w:val="clear" w:color="auto" w:fill="FFFFFF"/>
        </w:rPr>
      </w:pPr>
      <w:r>
        <w:rPr>
          <w:rFonts w:ascii="Times New Roman" w:hAnsi="Times New Roman" w:cs="Times New Roman"/>
          <w:color w:val="2D2D2D"/>
          <w:sz w:val="24"/>
          <w:szCs w:val="24"/>
          <w:shd w:val="clear" w:color="auto" w:fill="FFFFFF"/>
        </w:rPr>
        <w:t>Class:</w:t>
      </w:r>
    </w:p>
    <w:p w14:paraId="6C3B6484" w14:textId="77777777" w:rsidR="00EE02C7" w:rsidRDefault="00EE02C7" w:rsidP="00143BEB">
      <w:pPr>
        <w:spacing w:line="480" w:lineRule="auto"/>
        <w:rPr>
          <w:rFonts w:ascii="Times New Roman" w:hAnsi="Times New Roman" w:cs="Times New Roman"/>
          <w:color w:val="2D2D2D"/>
          <w:sz w:val="24"/>
          <w:szCs w:val="24"/>
          <w:shd w:val="clear" w:color="auto" w:fill="FFFFFF"/>
        </w:rPr>
      </w:pPr>
      <w:r>
        <w:rPr>
          <w:rFonts w:ascii="Times New Roman" w:hAnsi="Times New Roman" w:cs="Times New Roman"/>
          <w:color w:val="2D2D2D"/>
          <w:sz w:val="24"/>
          <w:szCs w:val="24"/>
          <w:shd w:val="clear" w:color="auto" w:fill="FFFFFF"/>
        </w:rPr>
        <w:t>Date:</w:t>
      </w:r>
    </w:p>
    <w:p w14:paraId="3D8C059A" w14:textId="77777777" w:rsidR="00EE02C7" w:rsidRDefault="00143BEB" w:rsidP="00EE02C7">
      <w:pPr>
        <w:spacing w:line="480" w:lineRule="auto"/>
        <w:jc w:val="center"/>
        <w:rPr>
          <w:rFonts w:ascii="Times New Roman" w:hAnsi="Times New Roman" w:cs="Times New Roman"/>
          <w:color w:val="2D2D2D"/>
          <w:sz w:val="24"/>
          <w:szCs w:val="24"/>
        </w:rPr>
      </w:pPr>
      <w:r w:rsidRPr="00EE02C7">
        <w:rPr>
          <w:rFonts w:ascii="Times New Roman" w:hAnsi="Times New Roman" w:cs="Times New Roman"/>
          <w:b/>
          <w:color w:val="2D2D2D"/>
          <w:sz w:val="24"/>
          <w:szCs w:val="24"/>
          <w:shd w:val="clear" w:color="auto" w:fill="FFFFFF"/>
        </w:rPr>
        <w:t>Facts:</w:t>
      </w:r>
      <w:r w:rsidRPr="00143BEB">
        <w:rPr>
          <w:rFonts w:ascii="Times New Roman" w:hAnsi="Times New Roman" w:cs="Times New Roman"/>
          <w:color w:val="2D2D2D"/>
          <w:sz w:val="24"/>
          <w:szCs w:val="24"/>
          <w:shd w:val="clear" w:color="auto" w:fill="FFFFFF"/>
        </w:rPr>
        <w:t xml:space="preserve"> </w:t>
      </w:r>
    </w:p>
    <w:p w14:paraId="3FBFC348" w14:textId="77777777" w:rsidR="00143BEB" w:rsidRPr="00143BEB" w:rsidRDefault="00143BEB" w:rsidP="00EE02C7">
      <w:pPr>
        <w:spacing w:line="480" w:lineRule="auto"/>
        <w:rPr>
          <w:rFonts w:ascii="Times New Roman" w:hAnsi="Times New Roman" w:cs="Times New Roman"/>
          <w:color w:val="2D2D2D"/>
          <w:sz w:val="24"/>
          <w:szCs w:val="24"/>
          <w:shd w:val="clear" w:color="auto" w:fill="FFFFFF"/>
        </w:rPr>
      </w:pPr>
      <w:r w:rsidRPr="00143BEB">
        <w:rPr>
          <w:rFonts w:ascii="Times New Roman" w:hAnsi="Times New Roman" w:cs="Times New Roman"/>
          <w:color w:val="2D2D2D"/>
          <w:sz w:val="24"/>
          <w:szCs w:val="24"/>
          <w:shd w:val="clear" w:color="auto" w:fill="FFFFFF"/>
        </w:rPr>
        <w:t xml:space="preserve">The Fresno Region workplace of education worked with Aileen </w:t>
      </w:r>
      <w:proofErr w:type="spellStart"/>
      <w:r w:rsidRPr="00143BEB">
        <w:rPr>
          <w:rFonts w:ascii="Times New Roman" w:hAnsi="Times New Roman" w:cs="Times New Roman"/>
          <w:color w:val="2D2D2D"/>
          <w:sz w:val="24"/>
          <w:szCs w:val="24"/>
          <w:shd w:val="clear" w:color="auto" w:fill="FFFFFF"/>
        </w:rPr>
        <w:t>Rizo</w:t>
      </w:r>
      <w:proofErr w:type="spellEnd"/>
      <w:r w:rsidRPr="00143BEB">
        <w:rPr>
          <w:rFonts w:ascii="Times New Roman" w:hAnsi="Times New Roman" w:cs="Times New Roman"/>
          <w:color w:val="2D2D2D"/>
          <w:sz w:val="24"/>
          <w:szCs w:val="24"/>
          <w:shd w:val="clear" w:color="auto" w:fill="FFFFFF"/>
        </w:rPr>
        <w:t xml:space="preserve"> as a mathematics rep. The Area set its brand-new staff members' salaries in step with a pay schedule controlled through a stylish operating way. Based on her earlier wages, the Area positioned </w:t>
      </w:r>
      <w:proofErr w:type="spellStart"/>
      <w:r w:rsidRPr="00143BEB">
        <w:rPr>
          <w:rFonts w:ascii="Times New Roman" w:hAnsi="Times New Roman" w:cs="Times New Roman"/>
          <w:color w:val="2D2D2D"/>
          <w:sz w:val="24"/>
          <w:szCs w:val="24"/>
          <w:shd w:val="clear" w:color="auto" w:fill="FFFFFF"/>
        </w:rPr>
        <w:t>Rizo</w:t>
      </w:r>
      <w:proofErr w:type="spellEnd"/>
      <w:r w:rsidRPr="00143BEB">
        <w:rPr>
          <w:rFonts w:ascii="Times New Roman" w:hAnsi="Times New Roman" w:cs="Times New Roman"/>
          <w:color w:val="2D2D2D"/>
          <w:sz w:val="24"/>
          <w:szCs w:val="24"/>
          <w:shd w:val="clear" w:color="auto" w:fill="FFFFFF"/>
        </w:rPr>
        <w:t xml:space="preserve"> at Step 1, degree 1, on its pay time table. </w:t>
      </w:r>
      <w:proofErr w:type="spellStart"/>
      <w:r w:rsidRPr="00143BEB">
        <w:rPr>
          <w:rFonts w:ascii="Times New Roman" w:hAnsi="Times New Roman" w:cs="Times New Roman"/>
          <w:color w:val="2D2D2D"/>
          <w:sz w:val="24"/>
          <w:szCs w:val="24"/>
          <w:shd w:val="clear" w:color="auto" w:fill="FFFFFF"/>
        </w:rPr>
        <w:t>Rizo</w:t>
      </w:r>
      <w:proofErr w:type="spellEnd"/>
      <w:r w:rsidRPr="00143BEB">
        <w:rPr>
          <w:rFonts w:ascii="Times New Roman" w:hAnsi="Times New Roman" w:cs="Times New Roman"/>
          <w:color w:val="2D2D2D"/>
          <w:sz w:val="24"/>
          <w:szCs w:val="24"/>
          <w:shd w:val="clear" w:color="auto" w:fill="FFFFFF"/>
        </w:rPr>
        <w:t xml:space="preserve"> figured out that she changed into the very best girl math rep at Fresno Area. All of her male coworkers were paid higher than she ends up being, although she had greater education and learning and experience. As a result, </w:t>
      </w:r>
      <w:proofErr w:type="spellStart"/>
      <w:r w:rsidRPr="00143BEB">
        <w:rPr>
          <w:rFonts w:ascii="Times New Roman" w:hAnsi="Times New Roman" w:cs="Times New Roman"/>
          <w:color w:val="2D2D2D"/>
          <w:sz w:val="24"/>
          <w:szCs w:val="24"/>
          <w:shd w:val="clear" w:color="auto" w:fill="FFFFFF"/>
        </w:rPr>
        <w:t>Rizo</w:t>
      </w:r>
      <w:proofErr w:type="spellEnd"/>
      <w:r w:rsidRPr="00143BEB">
        <w:rPr>
          <w:rFonts w:ascii="Times New Roman" w:hAnsi="Times New Roman" w:cs="Times New Roman"/>
          <w:color w:val="2D2D2D"/>
          <w:sz w:val="24"/>
          <w:szCs w:val="24"/>
          <w:shd w:val="clear" w:color="auto" w:fill="FFFFFF"/>
        </w:rPr>
        <w:t xml:space="preserve"> filed a problem, alleging that the Region went against the equivalent Pay Act, and also included cases for sexual intercourse discrimination listed below title VII of the Civil Liberty Act of sex discrimination under California's sincere Employment and Real estate Act, as well as failing to prevent discrimination under </w:t>
      </w:r>
      <w:proofErr w:type="gramStart"/>
      <w:r w:rsidRPr="00143BEB">
        <w:rPr>
          <w:rFonts w:ascii="Times New Roman" w:hAnsi="Times New Roman" w:cs="Times New Roman"/>
          <w:color w:val="2D2D2D"/>
          <w:sz w:val="24"/>
          <w:szCs w:val="24"/>
          <w:shd w:val="clear" w:color="auto" w:fill="FFFFFF"/>
        </w:rPr>
        <w:t>The</w:t>
      </w:r>
      <w:proofErr w:type="gramEnd"/>
      <w:r w:rsidRPr="00143BEB">
        <w:rPr>
          <w:rFonts w:ascii="Times New Roman" w:hAnsi="Times New Roman" w:cs="Times New Roman"/>
          <w:color w:val="2D2D2D"/>
          <w:sz w:val="24"/>
          <w:szCs w:val="24"/>
          <w:shd w:val="clear" w:color="auto" w:fill="FFFFFF"/>
        </w:rPr>
        <w:t xml:space="preserve"> golden state's truthful Work as well as Real estate Act. Fresno Area proposed summary judgment, suggesting that </w:t>
      </w:r>
      <w:proofErr w:type="spellStart"/>
      <w:r w:rsidRPr="00143BEB">
        <w:rPr>
          <w:rFonts w:ascii="Times New Roman" w:hAnsi="Times New Roman" w:cs="Times New Roman"/>
          <w:color w:val="2D2D2D"/>
          <w:sz w:val="24"/>
          <w:szCs w:val="24"/>
          <w:shd w:val="clear" w:color="auto" w:fill="FFFFFF"/>
        </w:rPr>
        <w:t>Rizo's</w:t>
      </w:r>
      <w:proofErr w:type="spellEnd"/>
      <w:r w:rsidRPr="00143BEB">
        <w:rPr>
          <w:rFonts w:ascii="Times New Roman" w:hAnsi="Times New Roman" w:cs="Times New Roman"/>
          <w:color w:val="2D2D2D"/>
          <w:sz w:val="24"/>
          <w:szCs w:val="24"/>
          <w:shd w:val="clear" w:color="auto" w:fill="FFFFFF"/>
        </w:rPr>
        <w:t xml:space="preserve"> pay turned into completion result of SOP and that this </w:t>
      </w:r>
      <w:proofErr w:type="gramStart"/>
      <w:r w:rsidRPr="00143BEB">
        <w:rPr>
          <w:rFonts w:ascii="Times New Roman" w:hAnsi="Times New Roman" w:cs="Times New Roman"/>
          <w:color w:val="2D2D2D"/>
          <w:sz w:val="24"/>
          <w:szCs w:val="24"/>
          <w:shd w:val="clear" w:color="auto" w:fill="FFFFFF"/>
        </w:rPr>
        <w:t>pay</w:t>
      </w:r>
      <w:proofErr w:type="gramEnd"/>
      <w:r w:rsidRPr="00143BEB">
        <w:rPr>
          <w:rFonts w:ascii="Times New Roman" w:hAnsi="Times New Roman" w:cs="Times New Roman"/>
          <w:color w:val="2D2D2D"/>
          <w:sz w:val="24"/>
          <w:szCs w:val="24"/>
          <w:shd w:val="clear" w:color="auto" w:fill="FFFFFF"/>
        </w:rPr>
        <w:t xml:space="preserve"> plan, which became based completely on its staff members' previous pay, changed into a "variable other than sexual intercourse" that beat </w:t>
      </w:r>
      <w:proofErr w:type="spellStart"/>
      <w:r w:rsidRPr="00143BEB">
        <w:rPr>
          <w:rFonts w:ascii="Times New Roman" w:hAnsi="Times New Roman" w:cs="Times New Roman"/>
          <w:color w:val="2D2D2D"/>
          <w:sz w:val="24"/>
          <w:szCs w:val="24"/>
          <w:shd w:val="clear" w:color="auto" w:fill="FFFFFF"/>
        </w:rPr>
        <w:t>Rizo's</w:t>
      </w:r>
      <w:proofErr w:type="spellEnd"/>
      <w:r w:rsidRPr="00143BEB">
        <w:rPr>
          <w:rFonts w:ascii="Times New Roman" w:hAnsi="Times New Roman" w:cs="Times New Roman"/>
          <w:color w:val="2D2D2D"/>
          <w:sz w:val="24"/>
          <w:szCs w:val="24"/>
          <w:shd w:val="clear" w:color="auto" w:fill="FFFFFF"/>
        </w:rPr>
        <w:t xml:space="preserve"> EPA proclaim. The district court held that the Area's SOP 1440 always as well as necessarily contravened the EPA, and therefore, rejected the County's activity for recap judgment.</w:t>
      </w:r>
    </w:p>
    <w:p w14:paraId="3AB36EEF" w14:textId="1EA1F3F1" w:rsidR="00143BEB" w:rsidRPr="00143BEB" w:rsidRDefault="00143BEB" w:rsidP="00EE02C7">
      <w:pPr>
        <w:spacing w:line="480" w:lineRule="auto"/>
        <w:rPr>
          <w:rFonts w:ascii="Times New Roman" w:hAnsi="Times New Roman" w:cs="Times New Roman"/>
          <w:color w:val="2D2D2D"/>
          <w:sz w:val="24"/>
          <w:szCs w:val="24"/>
          <w:shd w:val="clear" w:color="auto" w:fill="FFFFFF"/>
        </w:rPr>
      </w:pPr>
      <w:r w:rsidRPr="00143BEB">
        <w:rPr>
          <w:rFonts w:ascii="Times New Roman" w:hAnsi="Times New Roman" w:cs="Times New Roman"/>
          <w:color w:val="2D2D2D"/>
          <w:sz w:val="24"/>
          <w:szCs w:val="24"/>
        </w:rPr>
        <w:lastRenderedPageBreak/>
        <w:br/>
      </w:r>
      <w:r w:rsidRPr="00EE02C7">
        <w:rPr>
          <w:rFonts w:ascii="Times New Roman" w:hAnsi="Times New Roman" w:cs="Times New Roman"/>
          <w:b/>
          <w:color w:val="2D2D2D"/>
          <w:sz w:val="24"/>
          <w:szCs w:val="24"/>
          <w:shd w:val="clear" w:color="auto" w:fill="FFFFFF"/>
        </w:rPr>
        <w:t xml:space="preserve">Law </w:t>
      </w:r>
      <w:r w:rsidRPr="00143BEB">
        <w:rPr>
          <w:rFonts w:ascii="Times New Roman" w:hAnsi="Times New Roman" w:cs="Times New Roman"/>
          <w:color w:val="2D2D2D"/>
          <w:sz w:val="24"/>
          <w:szCs w:val="24"/>
        </w:rPr>
        <w:br/>
      </w:r>
      <w:r w:rsidRPr="00143BEB">
        <w:rPr>
          <w:rFonts w:ascii="Times New Roman" w:hAnsi="Times New Roman" w:cs="Times New Roman"/>
          <w:color w:val="2D2D2D"/>
          <w:sz w:val="24"/>
          <w:szCs w:val="24"/>
          <w:shd w:val="clear" w:color="auto" w:fill="FFFFFF"/>
        </w:rPr>
        <w:t>The court docket held that the area courtroom properly refuted the employer's movement for recap judgment on claims below the same Pay Act since the worker's earlier cost of pay came to be not an "issue apart from sex" that enabled the firm to pay her less than male staff members that performed the equal paints. Best task-related elements ought to serve as affirmative defenses to similar Pay Act insurance claims. in addition, the court held that the situation became voided because it's preserving that earlier pay in combination with other aspects may function as affirmative protection become inconsistent with the same Pay Act's text, function, and also a burden-moving framework for the equal intentions making use of previous pay on my very own ended up being irregular with the Equal Pay Act's textual web content, reason, and also burden-shifting structure</w:t>
      </w:r>
      <w:r w:rsidR="004E7633" w:rsidRPr="004E7633">
        <w:rPr>
          <w:rFonts w:ascii="Times New Roman" w:hAnsi="Times New Roman" w:cs="Times New Roman"/>
          <w:color w:val="222222"/>
          <w:sz w:val="24"/>
          <w:szCs w:val="24"/>
          <w:shd w:val="clear" w:color="auto" w:fill="FFFFFF"/>
        </w:rPr>
        <w:t xml:space="preserve"> </w:t>
      </w:r>
      <w:r w:rsidR="004E7633">
        <w:rPr>
          <w:rFonts w:ascii="Times New Roman" w:hAnsi="Times New Roman" w:cs="Times New Roman"/>
          <w:color w:val="222222"/>
          <w:sz w:val="24"/>
          <w:szCs w:val="24"/>
          <w:shd w:val="clear" w:color="auto" w:fill="FFFFFF"/>
        </w:rPr>
        <w:t>(</w:t>
      </w:r>
      <w:r w:rsidR="004E7633" w:rsidRPr="00375625">
        <w:rPr>
          <w:rFonts w:ascii="Times New Roman" w:hAnsi="Times New Roman" w:cs="Times New Roman"/>
          <w:color w:val="222222"/>
          <w:sz w:val="24"/>
          <w:szCs w:val="24"/>
          <w:shd w:val="clear" w:color="auto" w:fill="FFFFFF"/>
        </w:rPr>
        <w:t>Crampton</w:t>
      </w:r>
      <w:r w:rsidR="004E7633">
        <w:rPr>
          <w:rFonts w:ascii="Times New Roman" w:hAnsi="Times New Roman" w:cs="Times New Roman"/>
          <w:color w:val="222222"/>
          <w:sz w:val="24"/>
          <w:szCs w:val="24"/>
          <w:shd w:val="clear" w:color="auto" w:fill="FFFFFF"/>
        </w:rPr>
        <w:t xml:space="preserve"> 355)</w:t>
      </w:r>
      <w:r w:rsidRPr="00143BEB">
        <w:rPr>
          <w:rFonts w:ascii="Times New Roman" w:hAnsi="Times New Roman" w:cs="Times New Roman"/>
          <w:color w:val="2D2D2D"/>
          <w:sz w:val="24"/>
          <w:szCs w:val="24"/>
          <w:shd w:val="clear" w:color="auto" w:fill="FFFFFF"/>
        </w:rPr>
        <w:t>.</w:t>
      </w:r>
      <w:r w:rsidRPr="00143BEB">
        <w:rPr>
          <w:rFonts w:ascii="Times New Roman" w:hAnsi="Times New Roman" w:cs="Times New Roman"/>
          <w:color w:val="2D2D2D"/>
          <w:sz w:val="24"/>
          <w:szCs w:val="24"/>
        </w:rPr>
        <w:br/>
      </w:r>
      <w:r w:rsidRPr="00143BEB">
        <w:rPr>
          <w:rFonts w:ascii="Times New Roman" w:hAnsi="Times New Roman" w:cs="Times New Roman"/>
          <w:color w:val="2D2D2D"/>
          <w:sz w:val="24"/>
          <w:szCs w:val="24"/>
          <w:shd w:val="clear" w:color="auto" w:fill="FFFFFF"/>
        </w:rPr>
        <w:t xml:space="preserve">The extent of the 4th same Pay Act exemption is restricted. The "component besides sex" security does now not encompass, in fact, any other part. </w:t>
      </w:r>
      <w:r w:rsidR="00EE02C7" w:rsidRPr="00143BEB">
        <w:rPr>
          <w:rFonts w:ascii="Times New Roman" w:hAnsi="Times New Roman" w:cs="Times New Roman"/>
          <w:color w:val="2D2D2D"/>
          <w:sz w:val="24"/>
          <w:szCs w:val="24"/>
          <w:shd w:val="clear" w:color="auto" w:fill="FFFFFF"/>
        </w:rPr>
        <w:t>Based</w:t>
      </w:r>
      <w:r w:rsidRPr="00143BEB">
        <w:rPr>
          <w:rFonts w:ascii="Times New Roman" w:hAnsi="Times New Roman" w:cs="Times New Roman"/>
          <w:color w:val="2D2D2D"/>
          <w:sz w:val="24"/>
          <w:szCs w:val="24"/>
          <w:shd w:val="clear" w:color="auto" w:fill="FFFFFF"/>
        </w:rPr>
        <w:t xml:space="preserve"> upon the textual web content </w:t>
      </w:r>
      <w:r w:rsidR="00EE02C7" w:rsidRPr="00143BEB">
        <w:rPr>
          <w:rFonts w:ascii="Times New Roman" w:hAnsi="Times New Roman" w:cs="Times New Roman"/>
          <w:color w:val="2D2D2D"/>
          <w:sz w:val="24"/>
          <w:szCs w:val="24"/>
          <w:shd w:val="clear" w:color="auto" w:fill="FFFFFF"/>
        </w:rPr>
        <w:t>and</w:t>
      </w:r>
      <w:r w:rsidRPr="00143BEB">
        <w:rPr>
          <w:rFonts w:ascii="Times New Roman" w:hAnsi="Times New Roman" w:cs="Times New Roman"/>
          <w:color w:val="2D2D2D"/>
          <w:sz w:val="24"/>
          <w:szCs w:val="24"/>
          <w:shd w:val="clear" w:color="auto" w:fill="FFFFFF"/>
        </w:rPr>
        <w:t xml:space="preserve"> the reason for the similar Pay Act, the fourth affirmative defense contains the most reliable activity-related variables, currently not sex</w:t>
      </w:r>
    </w:p>
    <w:p w14:paraId="10B38F22" w14:textId="50915F3E" w:rsidR="00143BEB" w:rsidRPr="00143BEB" w:rsidRDefault="00143BEB" w:rsidP="00EE02C7">
      <w:pPr>
        <w:tabs>
          <w:tab w:val="left" w:pos="2565"/>
        </w:tabs>
        <w:spacing w:line="480" w:lineRule="auto"/>
        <w:rPr>
          <w:rFonts w:ascii="Times New Roman" w:hAnsi="Times New Roman" w:cs="Times New Roman"/>
          <w:color w:val="2D2D2D"/>
          <w:sz w:val="24"/>
          <w:szCs w:val="24"/>
          <w:shd w:val="clear" w:color="auto" w:fill="FFFFFF"/>
        </w:rPr>
      </w:pPr>
      <w:r w:rsidRPr="00EE02C7">
        <w:rPr>
          <w:rFonts w:ascii="Times New Roman" w:hAnsi="Times New Roman" w:cs="Times New Roman"/>
          <w:b/>
          <w:color w:val="2D2D2D"/>
          <w:sz w:val="24"/>
          <w:szCs w:val="24"/>
          <w:shd w:val="clear" w:color="auto" w:fill="FFFFFF"/>
        </w:rPr>
        <w:t xml:space="preserve">Analysis </w:t>
      </w:r>
      <w:r w:rsidR="00EE02C7">
        <w:rPr>
          <w:rFonts w:ascii="Times New Roman" w:hAnsi="Times New Roman" w:cs="Times New Roman"/>
          <w:color w:val="2D2D2D"/>
          <w:sz w:val="24"/>
          <w:szCs w:val="24"/>
          <w:shd w:val="clear" w:color="auto" w:fill="FFFFFF"/>
        </w:rPr>
        <w:tab/>
      </w:r>
      <w:r w:rsidRPr="00143BEB">
        <w:rPr>
          <w:rFonts w:ascii="Times New Roman" w:hAnsi="Times New Roman" w:cs="Times New Roman"/>
          <w:color w:val="2D2D2D"/>
          <w:sz w:val="24"/>
          <w:szCs w:val="24"/>
        </w:rPr>
        <w:br/>
      </w:r>
      <w:r w:rsidRPr="00143BEB">
        <w:rPr>
          <w:rFonts w:ascii="Times New Roman" w:hAnsi="Times New Roman" w:cs="Times New Roman"/>
          <w:color w:val="2D2D2D"/>
          <w:sz w:val="24"/>
          <w:szCs w:val="24"/>
          <w:shd w:val="clear" w:color="auto" w:fill="FFFFFF"/>
        </w:rPr>
        <w:t xml:space="preserve">Below the equivalent Pay Act (EPA), employers are called to provide the same pay between staff members for identical work carried out no matter the sex, gender, nationality, race or belief. The catchall exemption is just restricted to the activity-related components. The consideration of prior income isn't constantly thought about as an exemption. According to the region's trendy operating method (SOP), the Fresno Area workplace of education-based totally </w:t>
      </w:r>
      <w:proofErr w:type="spellStart"/>
      <w:r w:rsidRPr="00143BEB">
        <w:rPr>
          <w:rFonts w:ascii="Times New Roman" w:hAnsi="Times New Roman" w:cs="Times New Roman"/>
          <w:color w:val="2D2D2D"/>
          <w:sz w:val="24"/>
          <w:szCs w:val="24"/>
          <w:shd w:val="clear" w:color="auto" w:fill="FFFFFF"/>
        </w:rPr>
        <w:t>Rizo's</w:t>
      </w:r>
      <w:proofErr w:type="spellEnd"/>
      <w:r w:rsidRPr="00143BEB">
        <w:rPr>
          <w:rFonts w:ascii="Times New Roman" w:hAnsi="Times New Roman" w:cs="Times New Roman"/>
          <w:color w:val="2D2D2D"/>
          <w:sz w:val="24"/>
          <w:szCs w:val="24"/>
          <w:shd w:val="clear" w:color="auto" w:fill="FFFFFF"/>
        </w:rPr>
        <w:t xml:space="preserve"> revenue on her previous salary according to the region's trendy operating method (SOP). </w:t>
      </w:r>
      <w:proofErr w:type="spellStart"/>
      <w:r w:rsidRPr="00143BEB">
        <w:rPr>
          <w:rFonts w:ascii="Times New Roman" w:hAnsi="Times New Roman" w:cs="Times New Roman"/>
          <w:color w:val="2D2D2D"/>
          <w:sz w:val="24"/>
          <w:szCs w:val="24"/>
          <w:shd w:val="clear" w:color="auto" w:fill="FFFFFF"/>
        </w:rPr>
        <w:t>Rizo</w:t>
      </w:r>
      <w:proofErr w:type="spellEnd"/>
      <w:r w:rsidRPr="00143BEB">
        <w:rPr>
          <w:rFonts w:ascii="Times New Roman" w:hAnsi="Times New Roman" w:cs="Times New Roman"/>
          <w:color w:val="2D2D2D"/>
          <w:sz w:val="24"/>
          <w:szCs w:val="24"/>
          <w:shd w:val="clear" w:color="auto" w:fill="FFFFFF"/>
        </w:rPr>
        <w:t xml:space="preserve"> later </w:t>
      </w:r>
      <w:r w:rsidRPr="00143BEB">
        <w:rPr>
          <w:rFonts w:ascii="Times New Roman" w:hAnsi="Times New Roman" w:cs="Times New Roman"/>
          <w:color w:val="2D2D2D"/>
          <w:sz w:val="24"/>
          <w:szCs w:val="24"/>
          <w:shd w:val="clear" w:color="auto" w:fill="FFFFFF"/>
        </w:rPr>
        <w:lastRenderedPageBreak/>
        <w:t xml:space="preserve">discovered that she developed into being paid much less than the male workers for similar paints. The same Pay Act gives that employees should certainly be paid similar wages for the same paints, the equal obligations that require comparable capabilities regardless of sex. Prior income cannot be taken into account an activity-associated concern that affects the employees" salaries. In view that </w:t>
      </w:r>
      <w:proofErr w:type="spellStart"/>
      <w:r w:rsidRPr="00143BEB">
        <w:rPr>
          <w:rFonts w:ascii="Times New Roman" w:hAnsi="Times New Roman" w:cs="Times New Roman"/>
          <w:color w:val="2D2D2D"/>
          <w:sz w:val="24"/>
          <w:szCs w:val="24"/>
          <w:shd w:val="clear" w:color="auto" w:fill="FFFFFF"/>
        </w:rPr>
        <w:t>Rizo</w:t>
      </w:r>
      <w:proofErr w:type="spellEnd"/>
      <w:r w:rsidRPr="00143BEB">
        <w:rPr>
          <w:rFonts w:ascii="Times New Roman" w:hAnsi="Times New Roman" w:cs="Times New Roman"/>
          <w:color w:val="2D2D2D"/>
          <w:sz w:val="24"/>
          <w:szCs w:val="24"/>
          <w:shd w:val="clear" w:color="auto" w:fill="FFFFFF"/>
        </w:rPr>
        <w:t xml:space="preserve"> does the same paintings as the male personnel; she is entitled to similar wages. In </w:t>
      </w:r>
      <w:proofErr w:type="spellStart"/>
      <w:r w:rsidRPr="00143BEB">
        <w:rPr>
          <w:rFonts w:ascii="Times New Roman" w:hAnsi="Times New Roman" w:cs="Times New Roman"/>
          <w:color w:val="2D2D2D"/>
          <w:sz w:val="24"/>
          <w:szCs w:val="24"/>
          <w:shd w:val="clear" w:color="auto" w:fill="FFFFFF"/>
        </w:rPr>
        <w:t>Kouba</w:t>
      </w:r>
      <w:proofErr w:type="spellEnd"/>
      <w:r w:rsidRPr="00143BEB">
        <w:rPr>
          <w:rFonts w:ascii="Times New Roman" w:hAnsi="Times New Roman" w:cs="Times New Roman"/>
          <w:color w:val="2D2D2D"/>
          <w:sz w:val="24"/>
          <w:szCs w:val="24"/>
          <w:shd w:val="clear" w:color="auto" w:fill="FFFFFF"/>
        </w:rPr>
        <w:t xml:space="preserve"> v. Allstate insurance coverage, the district court held that earlier incomes on my own couldn't justify a wage differential some of the workers for the equal job carried out</w:t>
      </w:r>
      <w:r w:rsidR="004E7633" w:rsidRPr="004E7633">
        <w:rPr>
          <w:rFonts w:ascii="Times New Roman" w:hAnsi="Times New Roman" w:cs="Times New Roman"/>
          <w:color w:val="222222"/>
          <w:sz w:val="24"/>
          <w:szCs w:val="24"/>
          <w:shd w:val="clear" w:color="auto" w:fill="FFFFFF"/>
        </w:rPr>
        <w:t xml:space="preserve"> </w:t>
      </w:r>
      <w:r w:rsidR="004E7633">
        <w:rPr>
          <w:rFonts w:ascii="Times New Roman" w:hAnsi="Times New Roman" w:cs="Times New Roman"/>
          <w:color w:val="222222"/>
          <w:sz w:val="24"/>
          <w:szCs w:val="24"/>
          <w:shd w:val="clear" w:color="auto" w:fill="FFFFFF"/>
        </w:rPr>
        <w:t>(</w:t>
      </w:r>
      <w:r w:rsidR="004E7633" w:rsidRPr="00375625">
        <w:rPr>
          <w:rFonts w:ascii="Times New Roman" w:hAnsi="Times New Roman" w:cs="Times New Roman"/>
          <w:color w:val="222222"/>
          <w:sz w:val="24"/>
          <w:szCs w:val="24"/>
          <w:shd w:val="clear" w:color="auto" w:fill="FFFFFF"/>
        </w:rPr>
        <w:t>Murphy</w:t>
      </w:r>
      <w:r w:rsidR="004E7633">
        <w:rPr>
          <w:rFonts w:ascii="Times New Roman" w:hAnsi="Times New Roman" w:cs="Times New Roman"/>
          <w:color w:val="222222"/>
          <w:sz w:val="24"/>
          <w:szCs w:val="24"/>
          <w:shd w:val="clear" w:color="auto" w:fill="FFFFFF"/>
        </w:rPr>
        <w:t xml:space="preserve"> 78)</w:t>
      </w:r>
      <w:r w:rsidRPr="00143BEB">
        <w:rPr>
          <w:rFonts w:ascii="Times New Roman" w:hAnsi="Times New Roman" w:cs="Times New Roman"/>
          <w:color w:val="2D2D2D"/>
          <w:sz w:val="24"/>
          <w:szCs w:val="24"/>
          <w:shd w:val="clear" w:color="auto" w:fill="FFFFFF"/>
        </w:rPr>
        <w:t xml:space="preserve">. Because of this, the region breached the identical Pay Act and discriminated against </w:t>
      </w:r>
      <w:proofErr w:type="spellStart"/>
      <w:r w:rsidRPr="00143BEB">
        <w:rPr>
          <w:rFonts w:ascii="Times New Roman" w:hAnsi="Times New Roman" w:cs="Times New Roman"/>
          <w:color w:val="2D2D2D"/>
          <w:sz w:val="24"/>
          <w:szCs w:val="24"/>
          <w:shd w:val="clear" w:color="auto" w:fill="FFFFFF"/>
        </w:rPr>
        <w:t>Rizo</w:t>
      </w:r>
      <w:proofErr w:type="spellEnd"/>
      <w:r w:rsidRPr="00143BEB">
        <w:rPr>
          <w:rFonts w:ascii="Times New Roman" w:hAnsi="Times New Roman" w:cs="Times New Roman"/>
          <w:color w:val="2D2D2D"/>
          <w:sz w:val="24"/>
          <w:szCs w:val="24"/>
          <w:shd w:val="clear" w:color="auto" w:fill="FFFFFF"/>
        </w:rPr>
        <w:t xml:space="preserve"> within the pay because of her sex.</w:t>
      </w:r>
    </w:p>
    <w:p w14:paraId="3F9EEC89" w14:textId="77777777" w:rsidR="004E7633" w:rsidRPr="00EE02C7" w:rsidRDefault="004E7633" w:rsidP="004E7633">
      <w:pPr>
        <w:spacing w:line="480" w:lineRule="auto"/>
        <w:jc w:val="center"/>
        <w:rPr>
          <w:rFonts w:ascii="Times New Roman" w:hAnsi="Times New Roman" w:cs="Times New Roman"/>
          <w:b/>
          <w:color w:val="2D2D2D"/>
          <w:sz w:val="24"/>
          <w:szCs w:val="24"/>
          <w:shd w:val="clear" w:color="auto" w:fill="FFFFFF"/>
        </w:rPr>
      </w:pPr>
      <w:r w:rsidRPr="00EE02C7">
        <w:rPr>
          <w:rFonts w:ascii="Times New Roman" w:hAnsi="Times New Roman" w:cs="Times New Roman"/>
          <w:b/>
          <w:color w:val="2D2D2D"/>
          <w:sz w:val="24"/>
          <w:szCs w:val="24"/>
          <w:shd w:val="clear" w:color="auto" w:fill="FFFFFF"/>
        </w:rPr>
        <w:t>R</w:t>
      </w:r>
      <w:r>
        <w:rPr>
          <w:rFonts w:ascii="Times New Roman" w:hAnsi="Times New Roman" w:cs="Times New Roman"/>
          <w:b/>
          <w:color w:val="2D2D2D"/>
          <w:sz w:val="24"/>
          <w:szCs w:val="24"/>
          <w:shd w:val="clear" w:color="auto" w:fill="FFFFFF"/>
        </w:rPr>
        <w:t>esolution</w:t>
      </w:r>
    </w:p>
    <w:p w14:paraId="43B631BD" w14:textId="6F3501A9" w:rsidR="004E7633" w:rsidRDefault="00952E46" w:rsidP="00143BEB">
      <w:pPr>
        <w:spacing w:line="480" w:lineRule="auto"/>
        <w:rPr>
          <w:rFonts w:ascii="Times New Roman" w:hAnsi="Times New Roman" w:cs="Times New Roman"/>
          <w:color w:val="2D2D2D"/>
          <w:sz w:val="24"/>
          <w:szCs w:val="24"/>
        </w:rPr>
      </w:pPr>
      <w:r w:rsidRPr="00952E46">
        <w:rPr>
          <w:rFonts w:ascii="Times New Roman" w:hAnsi="Times New Roman" w:cs="Times New Roman"/>
          <w:color w:val="2D2D2D"/>
          <w:sz w:val="24"/>
          <w:szCs w:val="24"/>
        </w:rPr>
        <w:t xml:space="preserve">The scope of the fourth Equal Pay Act exception is limited. The </w:t>
      </w:r>
      <w:r w:rsidR="004E7633">
        <w:rPr>
          <w:rFonts w:ascii="Times New Roman" w:hAnsi="Times New Roman" w:cs="Times New Roman"/>
          <w:color w:val="2D2D2D"/>
          <w:sz w:val="24"/>
          <w:szCs w:val="24"/>
        </w:rPr>
        <w:t>“</w:t>
      </w:r>
      <w:r w:rsidRPr="00952E46">
        <w:rPr>
          <w:rFonts w:ascii="Times New Roman" w:hAnsi="Times New Roman" w:cs="Times New Roman"/>
          <w:color w:val="2D2D2D"/>
          <w:sz w:val="24"/>
          <w:szCs w:val="24"/>
        </w:rPr>
        <w:t>factor other than sex</w:t>
      </w:r>
      <w:r w:rsidR="004E7633">
        <w:rPr>
          <w:rFonts w:ascii="Times New Roman" w:hAnsi="Times New Roman" w:cs="Times New Roman"/>
          <w:color w:val="2D2D2D"/>
          <w:sz w:val="24"/>
          <w:szCs w:val="24"/>
        </w:rPr>
        <w:t>”</w:t>
      </w:r>
      <w:r w:rsidRPr="00952E46">
        <w:rPr>
          <w:rFonts w:ascii="Times New Roman" w:hAnsi="Times New Roman" w:cs="Times New Roman"/>
          <w:color w:val="2D2D2D"/>
          <w:sz w:val="24"/>
          <w:szCs w:val="24"/>
        </w:rPr>
        <w:t xml:space="preserve"> defense does not include literally any other factor. Based on the text and purpose of the Equal Pay Act, the fourth affirmative defense comprises only job-related factors, not sex.</w:t>
      </w:r>
    </w:p>
    <w:p w14:paraId="74F469EF" w14:textId="43254A22" w:rsidR="001E3E2E" w:rsidRDefault="004E7633" w:rsidP="004E7633">
      <w:pPr>
        <w:spacing w:line="480" w:lineRule="auto"/>
        <w:rPr>
          <w:rFonts w:ascii="Times New Roman" w:hAnsi="Times New Roman" w:cs="Times New Roman"/>
          <w:color w:val="2D2D2D"/>
          <w:sz w:val="24"/>
          <w:szCs w:val="24"/>
          <w:shd w:val="clear" w:color="auto" w:fill="FFFFFF"/>
        </w:rPr>
      </w:pPr>
      <w:r>
        <w:rPr>
          <w:rFonts w:ascii="Times New Roman" w:hAnsi="Times New Roman" w:cs="Times New Roman"/>
          <w:color w:val="2D2D2D"/>
          <w:sz w:val="24"/>
          <w:szCs w:val="24"/>
        </w:rPr>
        <w:t xml:space="preserve">Ruling </w:t>
      </w:r>
      <w:r w:rsidR="00143BEB" w:rsidRPr="00143BEB">
        <w:rPr>
          <w:rFonts w:ascii="Times New Roman" w:hAnsi="Times New Roman" w:cs="Times New Roman"/>
          <w:color w:val="2D2D2D"/>
          <w:sz w:val="24"/>
          <w:szCs w:val="24"/>
        </w:rPr>
        <w:br/>
      </w:r>
      <w:r w:rsidR="00143BEB" w:rsidRPr="00143BEB">
        <w:rPr>
          <w:rFonts w:ascii="Times New Roman" w:hAnsi="Times New Roman" w:cs="Times New Roman"/>
          <w:color w:val="2D2D2D"/>
          <w:sz w:val="24"/>
          <w:szCs w:val="24"/>
          <w:shd w:val="clear" w:color="auto" w:fill="FFFFFF"/>
        </w:rPr>
        <w:t xml:space="preserve">Sure, the region breached the equal Pay Show to present differential salaries without a legitimate objective related to work total performance. The County is inaccurate. </w:t>
      </w:r>
      <w:r w:rsidR="00EE02C7" w:rsidRPr="00143BEB">
        <w:rPr>
          <w:rFonts w:ascii="Times New Roman" w:hAnsi="Times New Roman" w:cs="Times New Roman"/>
          <w:color w:val="2D2D2D"/>
          <w:sz w:val="24"/>
          <w:szCs w:val="24"/>
          <w:shd w:val="clear" w:color="auto" w:fill="FFFFFF"/>
        </w:rPr>
        <w:t>There is</w:t>
      </w:r>
      <w:r w:rsidR="00143BEB" w:rsidRPr="00143BEB">
        <w:rPr>
          <w:rFonts w:ascii="Times New Roman" w:hAnsi="Times New Roman" w:cs="Times New Roman"/>
          <w:color w:val="2D2D2D"/>
          <w:sz w:val="24"/>
          <w:szCs w:val="24"/>
          <w:shd w:val="clear" w:color="auto" w:fill="FFFFFF"/>
        </w:rPr>
        <w:t xml:space="preserve"> no confrontation between most circuits regarding whether a coverage much like the Region can satisfy the equal Pay Act's 4th affirmative protection. The county no longer mentions any choice, from any circuit, retaining that an enterprise's single reliance on an individual's earlier pay in an outstanding procedure with an outstanding organization beats liability as a keep in mind of regulation. Therefore, there's no "actual conflict" right here: On these statistics, no court docket of allures would certainly reach an exceptional final thought.</w:t>
      </w:r>
    </w:p>
    <w:p w14:paraId="5F90DF79" w14:textId="77777777" w:rsidR="00E148CA" w:rsidRDefault="00E148CA" w:rsidP="002B0985">
      <w:pPr>
        <w:spacing w:line="480" w:lineRule="auto"/>
        <w:jc w:val="center"/>
        <w:rPr>
          <w:rFonts w:ascii="Times New Roman" w:hAnsi="Times New Roman" w:cs="Times New Roman"/>
          <w:color w:val="2D2D2D"/>
          <w:sz w:val="24"/>
          <w:szCs w:val="24"/>
          <w:shd w:val="clear" w:color="auto" w:fill="FFFFFF"/>
        </w:rPr>
      </w:pPr>
    </w:p>
    <w:p w14:paraId="53DA034A" w14:textId="77777777" w:rsidR="00952E46" w:rsidRDefault="00EE02C7" w:rsidP="00952E46">
      <w:pPr>
        <w:spacing w:line="480" w:lineRule="auto"/>
        <w:jc w:val="center"/>
        <w:rPr>
          <w:rFonts w:ascii="Times New Roman" w:hAnsi="Times New Roman" w:cs="Times New Roman"/>
          <w:color w:val="2D2D2D"/>
          <w:sz w:val="24"/>
          <w:szCs w:val="24"/>
          <w:shd w:val="clear" w:color="auto" w:fill="FFFFFF"/>
        </w:rPr>
      </w:pPr>
      <w:r>
        <w:rPr>
          <w:rFonts w:ascii="Times New Roman" w:hAnsi="Times New Roman" w:cs="Times New Roman"/>
          <w:color w:val="2D2D2D"/>
          <w:sz w:val="24"/>
          <w:szCs w:val="24"/>
          <w:shd w:val="clear" w:color="auto" w:fill="FFFFFF"/>
        </w:rPr>
        <w:t>Work Cited</w:t>
      </w:r>
    </w:p>
    <w:p w14:paraId="6FF06CB8" w14:textId="77777777" w:rsidR="00375625" w:rsidRPr="00375625" w:rsidRDefault="00375625" w:rsidP="00375625">
      <w:pPr>
        <w:spacing w:line="480" w:lineRule="auto"/>
        <w:ind w:left="720" w:hanging="720"/>
        <w:rPr>
          <w:rFonts w:ascii="Times New Roman" w:hAnsi="Times New Roman" w:cs="Times New Roman"/>
          <w:color w:val="222222"/>
          <w:sz w:val="24"/>
          <w:szCs w:val="24"/>
          <w:shd w:val="clear" w:color="auto" w:fill="FFFFFF"/>
        </w:rPr>
      </w:pPr>
      <w:r w:rsidRPr="00375625">
        <w:rPr>
          <w:rFonts w:ascii="Times New Roman" w:hAnsi="Times New Roman" w:cs="Times New Roman"/>
          <w:color w:val="222222"/>
          <w:sz w:val="24"/>
          <w:szCs w:val="24"/>
          <w:shd w:val="clear" w:color="auto" w:fill="FFFFFF"/>
        </w:rPr>
        <w:t>Crampton, Suzanne M., John W. Hodge, and Jitendra M. Mishra. "The equal pay act: The first 30 years." </w:t>
      </w:r>
      <w:r w:rsidRPr="00375625">
        <w:rPr>
          <w:rFonts w:ascii="Times New Roman" w:hAnsi="Times New Roman" w:cs="Times New Roman"/>
          <w:i/>
          <w:iCs/>
          <w:color w:val="222222"/>
          <w:sz w:val="24"/>
          <w:szCs w:val="24"/>
          <w:shd w:val="clear" w:color="auto" w:fill="FFFFFF"/>
        </w:rPr>
        <w:t>Public Personnel Management</w:t>
      </w:r>
      <w:r w:rsidRPr="00375625">
        <w:rPr>
          <w:rFonts w:ascii="Times New Roman" w:hAnsi="Times New Roman" w:cs="Times New Roman"/>
          <w:color w:val="222222"/>
          <w:sz w:val="24"/>
          <w:szCs w:val="24"/>
          <w:shd w:val="clear" w:color="auto" w:fill="FFFFFF"/>
        </w:rPr>
        <w:t> 26.3 (1997): 335-344.</w:t>
      </w:r>
    </w:p>
    <w:p w14:paraId="7587CEAB" w14:textId="77777777" w:rsidR="00375625" w:rsidRDefault="00375625" w:rsidP="00375625">
      <w:pPr>
        <w:spacing w:line="480" w:lineRule="auto"/>
        <w:rPr>
          <w:rFonts w:ascii="Times New Roman" w:hAnsi="Times New Roman" w:cs="Times New Roman"/>
          <w:sz w:val="24"/>
          <w:szCs w:val="24"/>
        </w:rPr>
      </w:pPr>
      <w:hyperlink r:id="rId6" w:history="1">
        <w:r w:rsidRPr="001C36D4">
          <w:rPr>
            <w:rStyle w:val="Hyperlink"/>
            <w:rFonts w:ascii="Times New Roman" w:hAnsi="Times New Roman" w:cs="Times New Roman"/>
            <w:sz w:val="24"/>
            <w:szCs w:val="24"/>
          </w:rPr>
          <w:t>https://www.eeoc.gov/statutes/title-vii-civil-rights-act-1964</w:t>
        </w:r>
      </w:hyperlink>
    </w:p>
    <w:p w14:paraId="761071D3" w14:textId="77777777" w:rsidR="00375625" w:rsidRPr="00375625" w:rsidRDefault="00375625" w:rsidP="00375625">
      <w:pPr>
        <w:spacing w:line="480" w:lineRule="auto"/>
        <w:ind w:left="720" w:hanging="720"/>
        <w:rPr>
          <w:rFonts w:ascii="Times New Roman" w:hAnsi="Times New Roman" w:cs="Times New Roman"/>
          <w:color w:val="222222"/>
          <w:sz w:val="24"/>
          <w:szCs w:val="24"/>
          <w:shd w:val="clear" w:color="auto" w:fill="FFFFFF"/>
        </w:rPr>
      </w:pPr>
      <w:r w:rsidRPr="00375625">
        <w:rPr>
          <w:rFonts w:ascii="Times New Roman" w:hAnsi="Times New Roman" w:cs="Times New Roman"/>
          <w:color w:val="222222"/>
          <w:sz w:val="24"/>
          <w:szCs w:val="24"/>
          <w:shd w:val="clear" w:color="auto" w:fill="FFFFFF"/>
        </w:rPr>
        <w:t>Murphy, Thomas E. "Female Wage Discrimination: A Study of the Equal Pay Act 1963-1970." </w:t>
      </w:r>
      <w:r w:rsidRPr="00375625">
        <w:rPr>
          <w:rFonts w:ascii="Times New Roman" w:hAnsi="Times New Roman" w:cs="Times New Roman"/>
          <w:i/>
          <w:iCs/>
          <w:color w:val="222222"/>
          <w:sz w:val="24"/>
          <w:szCs w:val="24"/>
          <w:shd w:val="clear" w:color="auto" w:fill="FFFFFF"/>
        </w:rPr>
        <w:t xml:space="preserve">U. </w:t>
      </w:r>
      <w:proofErr w:type="spellStart"/>
      <w:r w:rsidRPr="00375625">
        <w:rPr>
          <w:rFonts w:ascii="Times New Roman" w:hAnsi="Times New Roman" w:cs="Times New Roman"/>
          <w:i/>
          <w:iCs/>
          <w:color w:val="222222"/>
          <w:sz w:val="24"/>
          <w:szCs w:val="24"/>
          <w:shd w:val="clear" w:color="auto" w:fill="FFFFFF"/>
        </w:rPr>
        <w:t>Cin</w:t>
      </w:r>
      <w:proofErr w:type="spellEnd"/>
      <w:r w:rsidRPr="00375625">
        <w:rPr>
          <w:rFonts w:ascii="Times New Roman" w:hAnsi="Times New Roman" w:cs="Times New Roman"/>
          <w:i/>
          <w:iCs/>
          <w:color w:val="222222"/>
          <w:sz w:val="24"/>
          <w:szCs w:val="24"/>
          <w:shd w:val="clear" w:color="auto" w:fill="FFFFFF"/>
        </w:rPr>
        <w:t>. L. Rev.</w:t>
      </w:r>
      <w:r w:rsidRPr="00375625">
        <w:rPr>
          <w:rFonts w:ascii="Times New Roman" w:hAnsi="Times New Roman" w:cs="Times New Roman"/>
          <w:color w:val="222222"/>
          <w:sz w:val="24"/>
          <w:szCs w:val="24"/>
          <w:shd w:val="clear" w:color="auto" w:fill="FFFFFF"/>
        </w:rPr>
        <w:t xml:space="preserve"> 39 (1970): 615. </w:t>
      </w:r>
    </w:p>
    <w:p w14:paraId="359A2AD5" w14:textId="77777777" w:rsidR="00375625" w:rsidRPr="00143BEB" w:rsidRDefault="00375625" w:rsidP="00375625">
      <w:pPr>
        <w:spacing w:line="480" w:lineRule="auto"/>
        <w:rPr>
          <w:rFonts w:ascii="Times New Roman" w:hAnsi="Times New Roman" w:cs="Times New Roman"/>
          <w:sz w:val="24"/>
          <w:szCs w:val="24"/>
        </w:rPr>
      </w:pPr>
    </w:p>
    <w:sectPr w:rsidR="00375625" w:rsidRPr="00143BEB" w:rsidSect="00EE02C7">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903F4" w14:textId="77777777" w:rsidR="001B6B2C" w:rsidRDefault="001B6B2C" w:rsidP="00EE02C7">
      <w:pPr>
        <w:spacing w:after="0" w:line="240" w:lineRule="auto"/>
      </w:pPr>
      <w:r>
        <w:separator/>
      </w:r>
    </w:p>
  </w:endnote>
  <w:endnote w:type="continuationSeparator" w:id="0">
    <w:p w14:paraId="4ED4B1A5" w14:textId="77777777" w:rsidR="001B6B2C" w:rsidRDefault="001B6B2C" w:rsidP="00EE02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50AF4" w14:textId="77777777" w:rsidR="001B6B2C" w:rsidRDefault="001B6B2C" w:rsidP="00EE02C7">
      <w:pPr>
        <w:spacing w:after="0" w:line="240" w:lineRule="auto"/>
      </w:pPr>
      <w:r>
        <w:separator/>
      </w:r>
    </w:p>
  </w:footnote>
  <w:footnote w:type="continuationSeparator" w:id="0">
    <w:p w14:paraId="07422527" w14:textId="77777777" w:rsidR="001B6B2C" w:rsidRDefault="001B6B2C" w:rsidP="00EE02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5629458"/>
      <w:docPartObj>
        <w:docPartGallery w:val="Page Numbers (Top of Page)"/>
        <w:docPartUnique/>
      </w:docPartObj>
    </w:sdtPr>
    <w:sdtEndPr>
      <w:rPr>
        <w:noProof/>
      </w:rPr>
    </w:sdtEndPr>
    <w:sdtContent>
      <w:p w14:paraId="075DAE69" w14:textId="77777777" w:rsidR="00FC3C64" w:rsidRDefault="00FC3C64">
        <w:pPr>
          <w:pStyle w:val="Header"/>
          <w:jc w:val="right"/>
        </w:pPr>
        <w:r w:rsidRPr="00FC3C64">
          <w:t xml:space="preserve">INSERT SURNAME </w:t>
        </w:r>
        <w:r>
          <w:fldChar w:fldCharType="begin"/>
        </w:r>
        <w:r>
          <w:instrText xml:space="preserve"> PAGE   \* MERGEFORMAT </w:instrText>
        </w:r>
        <w:r>
          <w:fldChar w:fldCharType="separate"/>
        </w:r>
        <w:r>
          <w:rPr>
            <w:noProof/>
          </w:rPr>
          <w:t>4</w:t>
        </w:r>
        <w:r>
          <w:rPr>
            <w:noProof/>
          </w:rPr>
          <w:fldChar w:fldCharType="end"/>
        </w:r>
      </w:p>
    </w:sdtContent>
  </w:sdt>
  <w:p w14:paraId="2FF8ACBD" w14:textId="77777777" w:rsidR="00FC3C64" w:rsidRDefault="00FC3C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74554" w14:textId="77777777" w:rsidR="00EE02C7" w:rsidRDefault="00EE02C7">
    <w:pPr>
      <w:pStyle w:val="Header"/>
      <w:jc w:val="right"/>
    </w:pPr>
    <w:r>
      <w:t>INSERT SURNAME</w:t>
    </w:r>
    <w:sdt>
      <w:sdtPr>
        <w:id w:val="92523101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F96320">
          <w:rPr>
            <w:noProof/>
          </w:rPr>
          <w:t>1</w:t>
        </w:r>
        <w:r>
          <w:rPr>
            <w:noProof/>
          </w:rPr>
          <w:fldChar w:fldCharType="end"/>
        </w:r>
      </w:sdtContent>
    </w:sdt>
  </w:p>
  <w:p w14:paraId="36CB72F8" w14:textId="77777777" w:rsidR="00EE02C7" w:rsidRDefault="00EE02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BEB"/>
    <w:rsid w:val="000D3091"/>
    <w:rsid w:val="00143BEB"/>
    <w:rsid w:val="001B6B2C"/>
    <w:rsid w:val="001E3E2E"/>
    <w:rsid w:val="002B0985"/>
    <w:rsid w:val="002E3F87"/>
    <w:rsid w:val="00375625"/>
    <w:rsid w:val="004E7633"/>
    <w:rsid w:val="005F3479"/>
    <w:rsid w:val="00952E46"/>
    <w:rsid w:val="00E148CA"/>
    <w:rsid w:val="00EE02C7"/>
    <w:rsid w:val="00F96320"/>
    <w:rsid w:val="00FC3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30025"/>
  <w15:docId w15:val="{DD919383-88BF-41E9-B236-6D0205105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02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02C7"/>
  </w:style>
  <w:style w:type="paragraph" w:styleId="Footer">
    <w:name w:val="footer"/>
    <w:basedOn w:val="Normal"/>
    <w:link w:val="FooterChar"/>
    <w:uiPriority w:val="99"/>
    <w:unhideWhenUsed/>
    <w:rsid w:val="00EE02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02C7"/>
  </w:style>
  <w:style w:type="character" w:styleId="Hyperlink">
    <w:name w:val="Hyperlink"/>
    <w:basedOn w:val="DefaultParagraphFont"/>
    <w:uiPriority w:val="99"/>
    <w:unhideWhenUsed/>
    <w:rsid w:val="0037562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21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eoc.gov/statutes/title-vii-civil-rights-act-1964"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814</Words>
  <Characters>4645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Dell</cp:lastModifiedBy>
  <cp:revision>2</cp:revision>
  <dcterms:created xsi:type="dcterms:W3CDTF">2021-05-11T03:57:00Z</dcterms:created>
  <dcterms:modified xsi:type="dcterms:W3CDTF">2021-05-11T03:57:00Z</dcterms:modified>
</cp:coreProperties>
</file>