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2.0 -->
  <w:body>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p>
    <w:p w:rsidR="00A90BF0" w:rsidRPr="00A90BF0" w:rsidP="00A90BF0">
      <w:pPr>
        <w:spacing w:line="480" w:lineRule="auto"/>
        <w:jc w:val="center"/>
        <w:rPr>
          <w:rFonts w:ascii="Times New Roman" w:hAnsi="Times New Roman" w:cs="Times New Roman"/>
          <w:sz w:val="24"/>
          <w:szCs w:val="24"/>
        </w:rPr>
      </w:pPr>
      <w:r w:rsidRPr="00A90BF0">
        <w:rPr>
          <w:rFonts w:ascii="Times New Roman" w:hAnsi="Times New Roman" w:cs="Times New Roman"/>
          <w:sz w:val="24"/>
          <w:szCs w:val="24"/>
        </w:rPr>
        <w:t>Real Estate Part 2</w:t>
      </w:r>
    </w:p>
    <w:p w:rsidR="00A90BF0" w:rsidRPr="00A90BF0" w:rsidP="00A90BF0">
      <w:pPr>
        <w:spacing w:line="480" w:lineRule="auto"/>
        <w:jc w:val="center"/>
        <w:rPr>
          <w:rFonts w:ascii="Times New Roman" w:hAnsi="Times New Roman" w:cs="Times New Roman"/>
          <w:sz w:val="24"/>
          <w:szCs w:val="24"/>
        </w:rPr>
      </w:pPr>
      <w:r w:rsidRPr="00A90BF0">
        <w:rPr>
          <w:rFonts w:ascii="Times New Roman" w:hAnsi="Times New Roman" w:cs="Times New Roman"/>
          <w:sz w:val="24"/>
          <w:szCs w:val="24"/>
        </w:rPr>
        <w:t>Name:</w:t>
      </w:r>
    </w:p>
    <w:p w:rsidR="00A90BF0" w:rsidRPr="00A90BF0" w:rsidP="00A90BF0">
      <w:pPr>
        <w:spacing w:line="480" w:lineRule="auto"/>
        <w:jc w:val="center"/>
        <w:rPr>
          <w:rFonts w:ascii="Times New Roman" w:hAnsi="Times New Roman" w:cs="Times New Roman"/>
          <w:sz w:val="24"/>
          <w:szCs w:val="24"/>
        </w:rPr>
      </w:pPr>
      <w:r w:rsidRPr="00A90BF0">
        <w:rPr>
          <w:rFonts w:ascii="Times New Roman" w:hAnsi="Times New Roman" w:cs="Times New Roman"/>
          <w:sz w:val="24"/>
          <w:szCs w:val="24"/>
        </w:rPr>
        <w:t>Institutional Affiliation:</w:t>
      </w:r>
    </w:p>
    <w:p w:rsidR="00A90BF0" w:rsidRPr="00A90BF0" w:rsidP="00A90BF0">
      <w:pPr>
        <w:spacing w:line="480" w:lineRule="auto"/>
        <w:jc w:val="center"/>
        <w:rPr>
          <w:rFonts w:ascii="Times New Roman" w:hAnsi="Times New Roman" w:cs="Times New Roman"/>
          <w:sz w:val="24"/>
          <w:szCs w:val="24"/>
        </w:rPr>
      </w:pPr>
      <w:r w:rsidRPr="00A90BF0">
        <w:rPr>
          <w:rFonts w:ascii="Times New Roman" w:hAnsi="Times New Roman" w:cs="Times New Roman"/>
          <w:sz w:val="24"/>
          <w:szCs w:val="24"/>
        </w:rPr>
        <w:t xml:space="preserve">Date: </w:t>
      </w:r>
      <w:r w:rsidRPr="00A90BF0">
        <w:rPr>
          <w:rFonts w:ascii="Times New Roman" w:hAnsi="Times New Roman" w:cs="Times New Roman"/>
          <w:sz w:val="24"/>
          <w:szCs w:val="24"/>
        </w:rPr>
        <w:br w:type="page"/>
      </w:r>
    </w:p>
    <w:p w:rsidR="00A90BF0" w:rsidRPr="00A90BF0" w:rsidP="00A90BF0">
      <w:pPr>
        <w:pStyle w:val="Heading1"/>
        <w:spacing w:line="480" w:lineRule="auto"/>
        <w:jc w:val="center"/>
        <w:rPr>
          <w:rFonts w:ascii="Times New Roman" w:hAnsi="Times New Roman" w:cs="Times New Roman"/>
          <w:b/>
          <w:sz w:val="24"/>
          <w:szCs w:val="24"/>
        </w:rPr>
      </w:pPr>
      <w:r w:rsidRPr="00A90BF0">
        <w:rPr>
          <w:rFonts w:ascii="Times New Roman" w:hAnsi="Times New Roman" w:cs="Times New Roman"/>
          <w:b/>
          <w:sz w:val="24"/>
          <w:szCs w:val="24"/>
        </w:rPr>
        <w:t xml:space="preserve">Real Estate </w:t>
      </w:r>
      <w:r w:rsidRPr="00A90BF0">
        <w:rPr>
          <w:rFonts w:ascii="Times New Roman" w:hAnsi="Times New Roman" w:cs="Times New Roman"/>
          <w:b/>
          <w:sz w:val="24"/>
          <w:szCs w:val="24"/>
        </w:rPr>
        <w:t>Part 2</w:t>
      </w:r>
    </w:p>
    <w:p w:rsidR="00A90BF0" w:rsidRPr="00A90BF0" w:rsidP="00A90BF0">
      <w:pPr>
        <w:pStyle w:val="Heading1"/>
        <w:spacing w:line="480" w:lineRule="auto"/>
        <w:jc w:val="center"/>
        <w:rPr>
          <w:rFonts w:ascii="Times New Roman" w:hAnsi="Times New Roman" w:cs="Times New Roman"/>
          <w:b/>
          <w:sz w:val="24"/>
          <w:szCs w:val="24"/>
        </w:rPr>
      </w:pPr>
      <w:r w:rsidRPr="00A90BF0">
        <w:rPr>
          <w:rFonts w:ascii="Times New Roman" w:hAnsi="Times New Roman" w:cs="Times New Roman"/>
          <w:b/>
          <w:sz w:val="24"/>
          <w:szCs w:val="24"/>
        </w:rPr>
        <w:t>Question c</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This section will address the gender roles and their effects on urban planning and real estate development in the 19</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century. Gender is one of the topics that have been discussed historically, examining women and men in the community based on their roles. In most cases, women are portrayed as weaker agents compared to men. The community has segmented various roles according to their status depending on gender orientation. Men in the American community were considered superior, holding higher-level positions and roles like politics, economic decision-making, and administration. Women, on the other hand, mainly were confined in their home setting to raise families. However, the studies provided offer a different approach that defines the changing roles of women in urban development projects and real estate decisions through diverse interventions.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 xml:space="preserve">Understanding the trends witnessed historically concerning zoning is essential for determining gender roles. Women mentioned above have long been confined in their homes to cater to family needs and demands. At the same time, men are exposed to various opportunities ranging from administration to economic decisions. While these trends have been witnessed in the country, a steady transition has been recorded involving women engagement in various matters affecting the community from a high-level dimension. Avila (2014) has offered insight into the potential role gender has played in real estate and urban planning. One of the main topics witnessed and discussed historically is urban planning.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 xml:space="preserve">Zoning has helped many communities segment regions according to the intended activities and investments. For example, the country has numerous zones according to the </w:t>
      </w:r>
      <w:r w:rsidRPr="00A90BF0">
        <w:rPr>
          <w:rFonts w:ascii="Times New Roman" w:hAnsi="Times New Roman" w:cs="Times New Roman"/>
          <w:sz w:val="24"/>
          <w:szCs w:val="24"/>
        </w:rPr>
        <w:t>various activities and resident types involved. Urban planning in the 19</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century was considered a significant development since it created the ideal framework for ensuring that communities achieved maximum benefits by strategically positioning various resources according to their needs and features. For example, urban planning involved allocating resources such as land to various amenities and residential areas to the community. This strategic allocation allows expansion rooms for the growing populations.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 xml:space="preserve">However, </w:t>
      </w:r>
      <w:r w:rsidRPr="00A90BF0">
        <w:rPr>
          <w:rFonts w:ascii="Times New Roman" w:hAnsi="Times New Roman" w:cs="Times New Roman"/>
          <w:sz w:val="24"/>
          <w:szCs w:val="24"/>
        </w:rPr>
        <w:t>Ritzdorf</w:t>
      </w:r>
      <w:r w:rsidRPr="00A90BF0">
        <w:rPr>
          <w:rFonts w:ascii="Times New Roman" w:hAnsi="Times New Roman" w:cs="Times New Roman"/>
          <w:sz w:val="24"/>
          <w:szCs w:val="24"/>
        </w:rPr>
        <w:t xml:space="preserve"> (1994) argues that residential zoning viewed from the feminist weighs gender roles in urban planning while understanding the current trends witnessed within the community. The author relates the land use and zoning principles with the changing population needs and attributes of American society in the article. This analysis offers insight into the changing gender roles involved in defining the zoning principles utilized in land-use laws. While zoning relates to controlling the land use to protect the community health, wellness and safety, it is worth noting that the changes witnessed recently have been focused on enforcing social reforms. For example, the witnessed changes have affected the overall community composition by eliminating work and home living and positioning of other essential services like childcare and others. Some of the land-use policies and laws have affected the overall community composition through the family. Redefining the family has affected the way people from the same community relate. For example, some of these laws have prohibited people not blood-related to cohabitate within specific family settings. A majority of these policies have affected women from multiple dimensions considering their family connection and community roles.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Experts like Avila (2014) have explored some of the roles gender has played in influencing zoning decisions implemented within the community, especially in the 19</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and 20</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centuries. The author has argued that women engaged in various elements focusing on promoting </w:t>
      </w:r>
      <w:r w:rsidRPr="00A90BF0">
        <w:rPr>
          <w:rFonts w:ascii="Times New Roman" w:hAnsi="Times New Roman" w:cs="Times New Roman"/>
          <w:sz w:val="24"/>
          <w:szCs w:val="24"/>
        </w:rPr>
        <w:t>social action against the current practices in zoning and urban planning (</w:t>
      </w:r>
      <w:r w:rsidRPr="00A90BF0">
        <w:rPr>
          <w:rFonts w:ascii="Times New Roman" w:hAnsi="Times New Roman" w:cs="Times New Roman"/>
          <w:color w:val="222222"/>
          <w:sz w:val="24"/>
          <w:szCs w:val="24"/>
          <w:shd w:val="clear" w:color="auto" w:fill="FFFFFF"/>
        </w:rPr>
        <w:t>Baer, 2007</w:t>
      </w:r>
      <w:r w:rsidRPr="00A90BF0">
        <w:rPr>
          <w:rFonts w:ascii="Times New Roman" w:hAnsi="Times New Roman" w:cs="Times New Roman"/>
          <w:sz w:val="24"/>
          <w:szCs w:val="24"/>
        </w:rPr>
        <w:t xml:space="preserve">). Women have taken an active role in discouraging developments that undermine the social context and relationships in the community setting. One of the aspects that show the women engaged in political and environmental decisions influencing real estate and zoning is the "mothers of Conservatism". For example, one of the areas that have shown women in active political action against developments witnessed affecting urban planning is the </w:t>
      </w:r>
      <w:r w:rsidRPr="00A90BF0">
        <w:rPr>
          <w:rFonts w:ascii="Times New Roman" w:hAnsi="Times New Roman" w:cs="Times New Roman"/>
          <w:i/>
          <w:sz w:val="24"/>
          <w:szCs w:val="24"/>
        </w:rPr>
        <w:t xml:space="preserve">housewives. </w:t>
      </w:r>
      <w:r w:rsidRPr="00A90BF0">
        <w:rPr>
          <w:rFonts w:ascii="Times New Roman" w:hAnsi="Times New Roman" w:cs="Times New Roman"/>
          <w:sz w:val="24"/>
          <w:szCs w:val="24"/>
        </w:rPr>
        <w:t xml:space="preserve">The group comprised of over 300 housewives condemned the construction of the Moses`s Cross Bronx Expressway. Their argument claimed that it intruded the general community homes and neighborhood and other alternative routes it would be constructed. They termed the project “Heartbreak Highway”. This incident shows that women took up various and more advanced roles in supporting or rebuking events affecting the community. While the women lost the case to Moses, their actions marked a significant milestone in the United States based on the courage and arguments against future projects.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 xml:space="preserve">Jane Jacobs engaged in various activities that condemned unfair projects, undermining community setting and urban planning from another dimension. In the community, she collaborated with the Greenwich Village mothers helped in stopping the construction of a highway that would affect Washington Square Park. The main conclusion is that women took up various roles that helped protect the environment through this success. While these efforts were focused on strategic community positioning, they gave women a political and activist voice that would help them seek more assistance against developments that undermined family and the social set up in the community. In the Washington Square Park incident, Jacob and the other stakeholders argued that the highway would cut the area into two unrelated halves through civic </w:t>
      </w:r>
      <w:r w:rsidRPr="00A90BF0">
        <w:rPr>
          <w:rFonts w:ascii="Times New Roman" w:hAnsi="Times New Roman" w:cs="Times New Roman"/>
          <w:sz w:val="24"/>
          <w:szCs w:val="24"/>
        </w:rPr>
        <w:t xml:space="preserve">vandalism. Further, Jacob argued that the construction would undermine the social, recreational spaces, which would affect the overall community relationships. </w:t>
      </w:r>
    </w:p>
    <w:p w:rsidR="00A90BF0" w:rsidRP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 xml:space="preserve">Jacob made significant developments in the community, focusing on strategically associating the social and political investments according to the societal demands arising with the witnessed changes. While her contributions associate with reducing adverse effects of civil vandalism, as she argued, Jacob represents a significant milestone the country reported in gender roles. Traditionally, such actions were perceived to be primarily influenced by men considering their community positioning and recognition. However, Jacob offered a different approach for understanding social change while empowering women into engaging in actions that protected their territories. </w:t>
      </w:r>
    </w:p>
    <w:p w:rsidR="00A90BF0" w:rsidRPr="00A90BF0" w:rsidP="00A90BF0">
      <w:pPr>
        <w:pStyle w:val="Heading1"/>
        <w:spacing w:line="480" w:lineRule="auto"/>
        <w:jc w:val="center"/>
        <w:rPr>
          <w:rFonts w:ascii="Times New Roman" w:hAnsi="Times New Roman" w:cs="Times New Roman"/>
          <w:b/>
          <w:sz w:val="24"/>
          <w:szCs w:val="24"/>
        </w:rPr>
      </w:pPr>
      <w:r w:rsidRPr="00A90BF0">
        <w:rPr>
          <w:rFonts w:ascii="Times New Roman" w:hAnsi="Times New Roman" w:cs="Times New Roman"/>
          <w:b/>
          <w:sz w:val="24"/>
          <w:szCs w:val="24"/>
        </w:rPr>
        <w:t>Conclusion</w:t>
      </w:r>
    </w:p>
    <w:p w:rsidR="00A90BF0" w:rsidP="00A90BF0">
      <w:pPr>
        <w:spacing w:line="480" w:lineRule="auto"/>
        <w:ind w:firstLine="720"/>
        <w:rPr>
          <w:rFonts w:ascii="Times New Roman" w:hAnsi="Times New Roman" w:cs="Times New Roman"/>
          <w:sz w:val="24"/>
          <w:szCs w:val="24"/>
        </w:rPr>
      </w:pPr>
      <w:r w:rsidRPr="00A90BF0">
        <w:rPr>
          <w:rFonts w:ascii="Times New Roman" w:hAnsi="Times New Roman" w:cs="Times New Roman"/>
          <w:sz w:val="24"/>
          <w:szCs w:val="24"/>
        </w:rPr>
        <w:t>From the analysis, women have played a significant role in defining the overall connection with nature. In this context, women like Jacob have represented females' role in the community setting, countering poor urban planning in the city and suburban areas. The women contributions helped the country create reliable approaches for honoring and recognizing the areas that require additional attention to ensure equity and fairness. Her contributions are considered a significant milestone that allowed women to improve their overall connection with the community while promoting fairness. This analysis shows that while women were confined in their homes considering their roles, they engaged in diverse issues that affected the larger community from a political, social and economic dimension. The 19</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and 20</w:t>
      </w:r>
      <w:r w:rsidRPr="00A90BF0">
        <w:rPr>
          <w:rFonts w:ascii="Times New Roman" w:hAnsi="Times New Roman" w:cs="Times New Roman"/>
          <w:sz w:val="24"/>
          <w:szCs w:val="24"/>
          <w:vertAlign w:val="superscript"/>
        </w:rPr>
        <w:t>th</w:t>
      </w:r>
      <w:r w:rsidRPr="00A90BF0">
        <w:rPr>
          <w:rFonts w:ascii="Times New Roman" w:hAnsi="Times New Roman" w:cs="Times New Roman"/>
          <w:sz w:val="24"/>
          <w:szCs w:val="24"/>
        </w:rPr>
        <w:t xml:space="preserve"> centuries formed the foundation for revolutionizing women roles in real estates and urban planning. The authors above show that women have played a crucial part in defining the overall connection women </w:t>
      </w:r>
      <w:r w:rsidRPr="00A90BF0">
        <w:rPr>
          <w:rFonts w:ascii="Times New Roman" w:hAnsi="Times New Roman" w:cs="Times New Roman"/>
          <w:sz w:val="24"/>
          <w:szCs w:val="24"/>
        </w:rPr>
        <w:t xml:space="preserve">exhibited in the community when looking at their contributions against civil vandalism and unfair zoning activities or projects. </w:t>
      </w: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P="00A90BF0">
      <w:pPr>
        <w:spacing w:line="480" w:lineRule="auto"/>
        <w:ind w:firstLine="720"/>
        <w:rPr>
          <w:rFonts w:ascii="Times New Roman" w:hAnsi="Times New Roman" w:cs="Times New Roman"/>
          <w:sz w:val="24"/>
          <w:szCs w:val="24"/>
        </w:rPr>
      </w:pPr>
    </w:p>
    <w:p w:rsidR="00A90BF0" w:rsidRPr="00A90BF0" w:rsidP="00A90BF0">
      <w:pPr>
        <w:spacing w:line="480" w:lineRule="auto"/>
        <w:ind w:firstLine="720"/>
        <w:rPr>
          <w:rFonts w:ascii="Times New Roman" w:hAnsi="Times New Roman" w:cs="Times New Roman"/>
          <w:sz w:val="24"/>
          <w:szCs w:val="24"/>
        </w:rPr>
      </w:pPr>
    </w:p>
    <w:p w:rsidR="00A90BF0" w:rsidRPr="00A90BF0" w:rsidP="00A90BF0">
      <w:pPr>
        <w:pStyle w:val="Heading1"/>
        <w:spacing w:line="480" w:lineRule="auto"/>
        <w:jc w:val="center"/>
        <w:rPr>
          <w:rFonts w:ascii="Times New Roman" w:hAnsi="Times New Roman" w:cs="Times New Roman"/>
          <w:b/>
          <w:sz w:val="24"/>
          <w:szCs w:val="24"/>
        </w:rPr>
      </w:pPr>
      <w:r w:rsidRPr="00A90BF0">
        <w:rPr>
          <w:rFonts w:ascii="Times New Roman" w:hAnsi="Times New Roman" w:cs="Times New Roman"/>
          <w:b/>
          <w:sz w:val="24"/>
          <w:szCs w:val="24"/>
        </w:rPr>
        <w:t>References</w:t>
      </w:r>
    </w:p>
    <w:p w:rsidR="00A90BF0" w:rsidRPr="00A90BF0" w:rsidP="00A90BF0">
      <w:pPr>
        <w:spacing w:line="480" w:lineRule="auto"/>
        <w:ind w:left="720" w:hanging="720"/>
        <w:rPr>
          <w:rFonts w:ascii="Times New Roman" w:hAnsi="Times New Roman" w:cs="Times New Roman"/>
          <w:color w:val="222222"/>
          <w:sz w:val="24"/>
          <w:szCs w:val="24"/>
          <w:shd w:val="clear" w:color="auto" w:fill="FFFFFF"/>
        </w:rPr>
      </w:pPr>
      <w:bookmarkStart w:id="0" w:name="_GoBack"/>
      <w:r w:rsidRPr="00A90BF0">
        <w:rPr>
          <w:rFonts w:ascii="Times New Roman" w:hAnsi="Times New Roman" w:cs="Times New Roman"/>
          <w:color w:val="222222"/>
          <w:sz w:val="24"/>
          <w:szCs w:val="24"/>
          <w:shd w:val="clear" w:color="auto" w:fill="FFFFFF"/>
        </w:rPr>
        <w:t>Avila, E. (2014). </w:t>
      </w:r>
      <w:r w:rsidRPr="00A90BF0">
        <w:rPr>
          <w:rFonts w:ascii="Times New Roman" w:hAnsi="Times New Roman" w:cs="Times New Roman"/>
          <w:i/>
          <w:iCs/>
          <w:color w:val="222222"/>
          <w:sz w:val="24"/>
          <w:szCs w:val="24"/>
          <w:shd w:val="clear" w:color="auto" w:fill="FFFFFF"/>
        </w:rPr>
        <w:t>The folklore of the freeway: Race and revolt in the modernist city</w:t>
      </w:r>
      <w:r w:rsidRPr="00A90BF0">
        <w:rPr>
          <w:rFonts w:ascii="Times New Roman" w:hAnsi="Times New Roman" w:cs="Times New Roman"/>
          <w:color w:val="222222"/>
          <w:sz w:val="24"/>
          <w:szCs w:val="24"/>
          <w:shd w:val="clear" w:color="auto" w:fill="FFFFFF"/>
        </w:rPr>
        <w:t>. U of Minnesota Press.</w:t>
      </w:r>
    </w:p>
    <w:p w:rsidR="00A90BF0" w:rsidRPr="00A90BF0" w:rsidP="00A90BF0">
      <w:pPr>
        <w:spacing w:line="480" w:lineRule="auto"/>
        <w:ind w:left="720" w:hanging="720"/>
        <w:rPr>
          <w:rFonts w:ascii="Times New Roman" w:hAnsi="Times New Roman" w:cs="Times New Roman"/>
          <w:sz w:val="24"/>
          <w:szCs w:val="24"/>
        </w:rPr>
      </w:pPr>
      <w:r w:rsidRPr="00A90BF0">
        <w:rPr>
          <w:rFonts w:ascii="Times New Roman" w:hAnsi="Times New Roman" w:cs="Times New Roman"/>
          <w:color w:val="222222"/>
          <w:sz w:val="24"/>
          <w:szCs w:val="24"/>
          <w:shd w:val="clear" w:color="auto" w:fill="FFFFFF"/>
        </w:rPr>
        <w:t>Baer, W. (2007). Planning for growth and growth controls in early modern northern Europe: Part 2: The evolution of London's practice 1580 to 1680. </w:t>
      </w:r>
      <w:r w:rsidRPr="00A90BF0">
        <w:rPr>
          <w:rFonts w:ascii="Times New Roman" w:hAnsi="Times New Roman" w:cs="Times New Roman"/>
          <w:i/>
          <w:iCs/>
          <w:color w:val="222222"/>
          <w:sz w:val="24"/>
          <w:szCs w:val="24"/>
          <w:shd w:val="clear" w:color="auto" w:fill="FFFFFF"/>
        </w:rPr>
        <w:t>Town Planning Review</w:t>
      </w:r>
      <w:r w:rsidRPr="00A90BF0">
        <w:rPr>
          <w:rFonts w:ascii="Times New Roman" w:hAnsi="Times New Roman" w:cs="Times New Roman"/>
          <w:color w:val="222222"/>
          <w:sz w:val="24"/>
          <w:szCs w:val="24"/>
          <w:shd w:val="clear" w:color="auto" w:fill="FFFFFF"/>
        </w:rPr>
        <w:t>, </w:t>
      </w:r>
      <w:r w:rsidRPr="00A90BF0">
        <w:rPr>
          <w:rFonts w:ascii="Times New Roman" w:hAnsi="Times New Roman" w:cs="Times New Roman"/>
          <w:i/>
          <w:iCs/>
          <w:color w:val="222222"/>
          <w:sz w:val="24"/>
          <w:szCs w:val="24"/>
          <w:shd w:val="clear" w:color="auto" w:fill="FFFFFF"/>
        </w:rPr>
        <w:t>78</w:t>
      </w:r>
      <w:r w:rsidRPr="00A90BF0">
        <w:rPr>
          <w:rFonts w:ascii="Times New Roman" w:hAnsi="Times New Roman" w:cs="Times New Roman"/>
          <w:color w:val="222222"/>
          <w:sz w:val="24"/>
          <w:szCs w:val="24"/>
          <w:shd w:val="clear" w:color="auto" w:fill="FFFFFF"/>
        </w:rPr>
        <w:t xml:space="preserve">(3), 257-278. </w:t>
      </w:r>
    </w:p>
    <w:p w:rsidR="00A90BF0" w:rsidRPr="00A90BF0" w:rsidP="00A90BF0">
      <w:pPr>
        <w:spacing w:line="480" w:lineRule="auto"/>
        <w:ind w:left="720" w:hanging="720"/>
        <w:rPr>
          <w:rFonts w:ascii="Times New Roman" w:hAnsi="Times New Roman" w:cs="Times New Roman"/>
          <w:sz w:val="24"/>
          <w:szCs w:val="24"/>
        </w:rPr>
      </w:pPr>
      <w:r w:rsidRPr="00A90BF0">
        <w:rPr>
          <w:rFonts w:ascii="Times New Roman" w:hAnsi="Times New Roman" w:cs="Times New Roman"/>
          <w:sz w:val="24"/>
          <w:szCs w:val="24"/>
        </w:rPr>
        <w:t>Ritzdorf</w:t>
      </w:r>
      <w:r w:rsidRPr="00A90BF0">
        <w:rPr>
          <w:rFonts w:ascii="Times New Roman" w:hAnsi="Times New Roman" w:cs="Times New Roman"/>
          <w:sz w:val="24"/>
          <w:szCs w:val="24"/>
        </w:rPr>
        <w:t xml:space="preserve">, M. (1994). A feminist analysis of gender and residential zoning in the United States. In Women and the Environment (pp. 255-279). Springer, Boston, MA. </w:t>
      </w:r>
      <w:bookmarkEnd w:id="0"/>
    </w:p>
    <w:sectPr w:rsidSect="00F37B3D">
      <w:headerReference w:type="default" r:id="rId4"/>
      <w:headerReference w:type="first" r:id="rId5"/>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01808291"/>
      <w:docPartObj>
        <w:docPartGallery w:val="Page Numbers (Top of Page)"/>
        <w:docPartUnique/>
      </w:docPartObj>
    </w:sdtPr>
    <w:sdtEndPr>
      <w:rPr>
        <w:noProof/>
      </w:rPr>
    </w:sdtEndPr>
    <w:sdtContent>
      <w:p w:rsidR="00F37B3D" w:rsidP="00F37B3D">
        <w:pPr>
          <w:pStyle w:val="Header"/>
        </w:pPr>
        <w:r w:rsidRPr="00F37B3D">
          <w:rPr>
            <w:rFonts w:ascii="Times New Roman" w:hAnsi="Times New Roman" w:cs="Times New Roman"/>
            <w:sz w:val="24"/>
            <w:szCs w:val="24"/>
          </w:rPr>
          <w:t xml:space="preserve">REAL ESTATE PART 1                                                               </w:t>
        </w:r>
        <w:r>
          <w:rPr>
            <w:rFonts w:ascii="Times New Roman" w:hAnsi="Times New Roman" w:cs="Times New Roman"/>
            <w:sz w:val="24"/>
            <w:szCs w:val="24"/>
          </w:rPr>
          <w:tab/>
        </w:r>
        <w:r>
          <w:fldChar w:fldCharType="begin"/>
        </w:r>
        <w:r>
          <w:instrText xml:space="preserve"> PAGE   \* MERGEFORMAT </w:instrText>
        </w:r>
        <w:r>
          <w:fldChar w:fldCharType="separate"/>
        </w:r>
        <w:r>
          <w:rPr>
            <w:noProof/>
          </w:rPr>
          <w:t>2</w:t>
        </w:r>
        <w:r>
          <w:rPr>
            <w:noProof/>
          </w:rPr>
          <w:fldChar w:fldCharType="end"/>
        </w:r>
      </w:p>
    </w:sdtContent>
  </w:sdt>
  <w:p w:rsidR="00F37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7B3D" w:rsidRPr="00F37B3D" w:rsidP="00F37B3D">
    <w:pPr>
      <w:rPr>
        <w:rFonts w:ascii="Times New Roman" w:hAnsi="Times New Roman" w:cs="Times New Roman"/>
        <w:sz w:val="24"/>
        <w:szCs w:val="24"/>
      </w:rPr>
    </w:pPr>
    <w:r w:rsidRPr="00F37B3D">
      <w:rPr>
        <w:rFonts w:ascii="Times New Roman" w:hAnsi="Times New Roman" w:cs="Times New Roman"/>
        <w:sz w:val="24"/>
        <w:szCs w:val="24"/>
      </w:rPr>
      <w:t xml:space="preserve">Running Head: REAL ESTATE PART 1               </w:t>
    </w:r>
    <w:r>
      <w:rPr>
        <w:rFonts w:ascii="Times New Roman" w:hAnsi="Times New Roman" w:cs="Times New Roman"/>
        <w:sz w:val="24"/>
        <w:szCs w:val="24"/>
      </w:rPr>
      <w:t xml:space="preserve">                         </w:t>
    </w:r>
    <w:r w:rsidRPr="00F37B3D">
      <w:rPr>
        <w:rFonts w:ascii="Times New Roman" w:hAnsi="Times New Roman" w:cs="Times New Roman"/>
        <w:sz w:val="24"/>
        <w:szCs w:val="24"/>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BF0"/>
    <w:rsid w:val="004B45B3"/>
    <w:rsid w:val="00A90BF0"/>
    <w:rsid w:val="00F37B3D"/>
  </w:rsids>
  <w:docVars>
    <w:docVar w:name="__Grammarly_42___1" w:val="H4sIAAAAAAAEAKtWcslP9kxRslIyNDYyMzU0NTE3MzY3MTUwNzBW0lEKTi0uzszPAykwrAUAVH1NcCwAAAA="/>
    <w:docVar w:name="__Grammarly_42____i" w:val="H4sIAAAAAAAEAKtWckksSQxILCpxzi/NK1GyMqwFAAEhoTITAAA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DF87DDE3-BEA2-44D1-A365-7843CD50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BF0"/>
  </w:style>
  <w:style w:type="paragraph" w:styleId="Heading1">
    <w:name w:val="heading 1"/>
    <w:basedOn w:val="Normal"/>
    <w:next w:val="Normal"/>
    <w:link w:val="Heading1Char"/>
    <w:uiPriority w:val="9"/>
    <w:qFormat/>
    <w:rsid w:val="00A90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BF0"/>
  </w:style>
  <w:style w:type="character" w:customStyle="1" w:styleId="Heading1Char">
    <w:name w:val="Heading 1 Char"/>
    <w:basedOn w:val="DefaultParagraphFont"/>
    <w:link w:val="Heading1"/>
    <w:uiPriority w:val="9"/>
    <w:rsid w:val="00A90BF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Microsoft account</cp:lastModifiedBy>
  <cp:revision>1</cp:revision>
  <dcterms:created xsi:type="dcterms:W3CDTF">2021-05-10T21:12:00Z</dcterms:created>
  <dcterms:modified xsi:type="dcterms:W3CDTF">2021-05-10T21:14:00Z</dcterms:modified>
</cp:coreProperties>
</file>