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883" w:rsidRDefault="00FC7F2A"/>
    <w:p w:rsidR="00CA1C37" w:rsidRDefault="00CA1C37"/>
    <w:p w:rsidR="00CA1C37" w:rsidRDefault="00CA1C37"/>
    <w:p w:rsidR="00CA1C37" w:rsidRDefault="00CA1C37"/>
    <w:p w:rsidR="00CA1C37" w:rsidRDefault="00CA1C37"/>
    <w:p w:rsidR="00CA1C37" w:rsidRDefault="00CA1C37"/>
    <w:p w:rsidR="00CA1C37" w:rsidRDefault="00CA1C37"/>
    <w:p w:rsidR="00CA1C37" w:rsidRDefault="00CA1C37"/>
    <w:p w:rsidR="00CA1C37" w:rsidRDefault="00CA1C37"/>
    <w:p w:rsidR="00CA1C37" w:rsidRPr="00CA1C37" w:rsidRDefault="00CA1C37">
      <w:pPr>
        <w:rPr>
          <w:b/>
        </w:rPr>
      </w:pPr>
    </w:p>
    <w:p w:rsidR="00CA1C37" w:rsidRPr="00CA1C37" w:rsidRDefault="00CA1C37" w:rsidP="00CA1C37">
      <w:pPr>
        <w:spacing w:line="480" w:lineRule="auto"/>
        <w:jc w:val="center"/>
        <w:rPr>
          <w:rFonts w:ascii="Times New Roman" w:hAnsi="Times New Roman" w:cs="Times New Roman"/>
          <w:b/>
          <w:sz w:val="24"/>
          <w:szCs w:val="24"/>
        </w:rPr>
      </w:pPr>
      <w:r w:rsidRPr="00CA1C37">
        <w:rPr>
          <w:rFonts w:ascii="Times New Roman" w:hAnsi="Times New Roman" w:cs="Times New Roman"/>
          <w:b/>
          <w:sz w:val="24"/>
          <w:szCs w:val="24"/>
        </w:rPr>
        <w:t>HRM Compensation and Benefits Case Studies</w:t>
      </w:r>
    </w:p>
    <w:p w:rsidR="00CA1C37" w:rsidRPr="00CA1C37" w:rsidRDefault="00CA1C37" w:rsidP="00CA1C37">
      <w:pPr>
        <w:spacing w:line="480" w:lineRule="auto"/>
        <w:jc w:val="center"/>
        <w:rPr>
          <w:rFonts w:ascii="Times New Roman" w:hAnsi="Times New Roman" w:cs="Times New Roman"/>
          <w:sz w:val="24"/>
          <w:szCs w:val="24"/>
        </w:rPr>
      </w:pPr>
      <w:r w:rsidRPr="00CA1C37">
        <w:rPr>
          <w:rFonts w:ascii="Times New Roman" w:hAnsi="Times New Roman" w:cs="Times New Roman"/>
          <w:sz w:val="24"/>
          <w:szCs w:val="24"/>
        </w:rPr>
        <w:t>Name</w:t>
      </w:r>
    </w:p>
    <w:p w:rsidR="00CA1C37" w:rsidRDefault="00CA1C37" w:rsidP="00CA1C37">
      <w:pPr>
        <w:spacing w:line="480" w:lineRule="auto"/>
        <w:jc w:val="center"/>
        <w:rPr>
          <w:rFonts w:ascii="Times New Roman" w:hAnsi="Times New Roman" w:cs="Times New Roman"/>
          <w:sz w:val="24"/>
          <w:szCs w:val="24"/>
        </w:rPr>
      </w:pPr>
      <w:r w:rsidRPr="00CA1C37">
        <w:rPr>
          <w:rFonts w:ascii="Times New Roman" w:hAnsi="Times New Roman" w:cs="Times New Roman"/>
          <w:sz w:val="24"/>
          <w:szCs w:val="24"/>
        </w:rPr>
        <w:t>Institution</w:t>
      </w:r>
    </w:p>
    <w:p w:rsidR="00CA1C37" w:rsidRPr="00CA1C37" w:rsidRDefault="00CA1C37" w:rsidP="00CA1C37">
      <w:pPr>
        <w:rPr>
          <w:rFonts w:ascii="Times New Roman" w:hAnsi="Times New Roman" w:cs="Times New Roman"/>
          <w:sz w:val="24"/>
          <w:szCs w:val="24"/>
        </w:rPr>
      </w:pPr>
      <w:r>
        <w:rPr>
          <w:rFonts w:ascii="Times New Roman" w:hAnsi="Times New Roman" w:cs="Times New Roman"/>
          <w:sz w:val="24"/>
          <w:szCs w:val="24"/>
        </w:rPr>
        <w:br w:type="page"/>
      </w:r>
    </w:p>
    <w:p w:rsidR="00CA1C37" w:rsidRPr="00CA1C37" w:rsidRDefault="00CA1C37" w:rsidP="00F901FD">
      <w:pPr>
        <w:spacing w:before="220" w:after="200" w:line="480" w:lineRule="auto"/>
        <w:ind w:firstLine="720"/>
        <w:jc w:val="center"/>
        <w:rPr>
          <w:rFonts w:ascii="Times New Roman" w:hAnsi="Times New Roman" w:cs="Times New Roman"/>
          <w:b/>
          <w:sz w:val="24"/>
          <w:szCs w:val="24"/>
        </w:rPr>
      </w:pPr>
      <w:r w:rsidRPr="00CA1C37">
        <w:rPr>
          <w:rFonts w:ascii="Times New Roman" w:hAnsi="Times New Roman" w:cs="Times New Roman"/>
          <w:b/>
          <w:sz w:val="24"/>
          <w:szCs w:val="24"/>
        </w:rPr>
        <w:lastRenderedPageBreak/>
        <w:t>HRM Compensation and Benefits Case Studies</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 xml:space="preserve">This case study reveals that the compensation and benefits activities in modern human resource management have significantly transformed. The case study analyzes the compensation and benefits structure for baseball clubs in the USA. This paper examines explicitly how professional teams and clubs compensate attendants, clubhouse managers, players, and managers. The report also examines the similarities and differences between the compensation and benefits structures in contemporary professional baseball clubs and organizations. In this discussion, comprehensive analysis </w:t>
      </w:r>
      <w:r w:rsidR="00C755B6">
        <w:rPr>
          <w:rFonts w:ascii="Times New Roman" w:hAnsi="Times New Roman" w:cs="Times New Roman"/>
          <w:sz w:val="24"/>
          <w:szCs w:val="24"/>
        </w:rPr>
        <w:t xml:space="preserve">will be conducted </w:t>
      </w:r>
      <w:r w:rsidRPr="00DC0000">
        <w:rPr>
          <w:rFonts w:ascii="Times New Roman" w:hAnsi="Times New Roman" w:cs="Times New Roman"/>
          <w:sz w:val="24"/>
          <w:szCs w:val="24"/>
        </w:rPr>
        <w:t xml:space="preserve">by answering several case study questions. </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Question 1</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In modern companies, organ</w:t>
      </w:r>
      <w:r w:rsidR="00AD6E40">
        <w:rPr>
          <w:rFonts w:ascii="Times New Roman" w:hAnsi="Times New Roman" w:cs="Times New Roman"/>
          <w:sz w:val="24"/>
          <w:szCs w:val="24"/>
        </w:rPr>
        <w:t xml:space="preserve">izations, and institutions, </w:t>
      </w:r>
      <w:r w:rsidRPr="00DC0000">
        <w:rPr>
          <w:rFonts w:ascii="Times New Roman" w:hAnsi="Times New Roman" w:cs="Times New Roman"/>
          <w:sz w:val="24"/>
          <w:szCs w:val="24"/>
        </w:rPr>
        <w:t xml:space="preserve">most subordinate </w:t>
      </w:r>
      <w:r w:rsidR="00AD6E40">
        <w:rPr>
          <w:rFonts w:ascii="Times New Roman" w:hAnsi="Times New Roman" w:cs="Times New Roman"/>
          <w:sz w:val="24"/>
          <w:szCs w:val="24"/>
        </w:rPr>
        <w:t>employees are</w:t>
      </w:r>
      <w:r w:rsidRPr="00DC0000">
        <w:rPr>
          <w:rFonts w:ascii="Times New Roman" w:hAnsi="Times New Roman" w:cs="Times New Roman"/>
          <w:sz w:val="24"/>
          <w:szCs w:val="24"/>
        </w:rPr>
        <w:t xml:space="preserve"> paid through hourly wages and bonuses. For instance, in 1970, American giant motor-vehicle manufacturer General Motors had more than 395,000 hourly workers (Gerhart &amp; Newman, 2019). The case study reveals that the compensation for "clubbies" is almost similar to that in organizations. According to the case study, baseball attendants receive hourly wages ranging from $7 to $8. The study also reveals that the payment for these attendants has significantly increased from the traditional $1, despite the easing of tasks and activities in modern baseball camps. This is similar to modern organizations where technology has </w:t>
      </w:r>
      <w:r w:rsidR="00BE15EC">
        <w:rPr>
          <w:rFonts w:ascii="Times New Roman" w:hAnsi="Times New Roman" w:cs="Times New Roman"/>
          <w:sz w:val="24"/>
          <w:szCs w:val="24"/>
        </w:rPr>
        <w:t>helped</w:t>
      </w:r>
      <w:r w:rsidRPr="00DC0000">
        <w:rPr>
          <w:rFonts w:ascii="Times New Roman" w:hAnsi="Times New Roman" w:cs="Times New Roman"/>
          <w:sz w:val="24"/>
          <w:szCs w:val="24"/>
        </w:rPr>
        <w:t xml:space="preserve"> relieve the subordinate staff from hectic and redundant tasks. </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 xml:space="preserve">According to Gerhart &amp; Newman (2019), the hourly wages paid to US subordinate staff are relatively higher than in organizations located in other countries. In Mexico, the average hourly wage paid for a subordinate manufacturing worker is $3.91, compared to the US's average hourly wage at $36.34. In China, the hourly compensation for manufacturing subordinates is </w:t>
      </w:r>
      <w:r w:rsidRPr="00DC0000">
        <w:rPr>
          <w:rFonts w:ascii="Times New Roman" w:hAnsi="Times New Roman" w:cs="Times New Roman"/>
          <w:sz w:val="24"/>
          <w:szCs w:val="24"/>
        </w:rPr>
        <w:lastRenderedPageBreak/>
        <w:t xml:space="preserve">14% of that of the US, with workers earning around $5.45 per hour. The statistics prove that the US subordinate staff in organizations receive higher pay than in many countries worldwide. In comparison, an attendant in a baseball club in the USA earns double the amount made by a subordinate staff in a manufacturing company in Mexico. Besides, "clubbies" in the USA earn higher wages than subordinate staff in China. The compensation structure in the USA justifies the assertions in the case study that imply that junior-locker-room attendants receive relatively better pay compared to the tasks they perform. The case study asserts that despite their higher income, the work for "clubbies" is almost similar to that of Hollywood personal assistants. </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Question 2</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Tommy McLaughlin's pay seems exaggerated and excessive of what to expect from a typical club manager in the US. The clubhouse manager is like any other highly paid executive in the country. Tomm</w:t>
      </w:r>
      <w:r w:rsidR="00AB6309">
        <w:rPr>
          <w:rFonts w:ascii="Times New Roman" w:hAnsi="Times New Roman" w:cs="Times New Roman"/>
          <w:sz w:val="24"/>
          <w:szCs w:val="24"/>
        </w:rPr>
        <w:t>y McLaughlin was awarded a full</w:t>
      </w:r>
      <w:r w:rsidRPr="00DC0000">
        <w:rPr>
          <w:rFonts w:ascii="Times New Roman" w:hAnsi="Times New Roman" w:cs="Times New Roman"/>
          <w:sz w:val="24"/>
          <w:szCs w:val="24"/>
        </w:rPr>
        <w:t xml:space="preserve"> share of the Boston Red Sox when the team won the title in 2019. The compensation on McLaughlin was to motivate him for his incredible performance in the past season. According to Gerhart &amp; Newman (2019), there is a direct link between high compensation and high performance for managers. The total worth of the share was estimated at $416,838. In chapter 10, however, the scholars reveal that only top executive officers are compensated through stock grants, stock options grants, performance share grants, performance units, and other stock programs. Considering that McLaughlin was a mere clubhouse manager for the Boston Red Sox team, his compensation was excessive and inappropriate. The payment through the stock options is a form of a long-term incentive for top executive officers. The Red Sox's manager should have appropriated the compensation of a clubhouse manager. Considering that the stock option player does not deserve to receive a long-</w:t>
      </w:r>
      <w:r w:rsidRPr="00DC0000">
        <w:rPr>
          <w:rFonts w:ascii="Times New Roman" w:hAnsi="Times New Roman" w:cs="Times New Roman"/>
          <w:sz w:val="24"/>
          <w:szCs w:val="24"/>
        </w:rPr>
        <w:lastRenderedPageBreak/>
        <w:t xml:space="preserve">term incentive using shares and stocks, Tommy McLaughlin's compensation was exaggerated and excessive for a clubhouse manager. </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Question 3</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 xml:space="preserve">In his article, Pollack (2017) asserts that baseball clubs use three different strategies to compensate and reward their players, managers, staff, and personnel. According to the baseball enthusiast, many clubs base their payment strategies on players' and staff's experience and service time. The scholar asserts that the three strategies include the team-mandated, arbitration, or free-agency. The team-mandated strategy is when teams decide how much to pay and reward their players. If the player and the club disagree on how much a player should be paid, an arbitrator may be involved. Often, arbitration is through the players' and the clubs' agents. Lastly, free agency occurs when players and teams pick their second-best unprotected picks. From his research, Matt Bloom affirmed that teams with minor differences in player salaries perform better than baseball teams where there are significant differences in player salaries (Gerhart &amp; Newman, 2019). According to Bloom, players paid using the egalitarian structure perform better than players in teams that use the hierarchical compensation and reward structures. </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However, many baseball teams utilize the hierarchical pay structure, thus paying their player by merit and performance. Best-performing players are paid higher than low-performing players. This has a positive effect on the compensation and rewards because they receive higher payment from higher-earning players. According to the case study, wealthier players are more generous to "clubbies," giving tips worth more than $300 for errands. Therefore, the hierarchical compensation system in the majority of our baseball companies has benefitted contemporary "clubbies." Most of the "clubbies" target wealthier and experienced players.</w:t>
      </w:r>
    </w:p>
    <w:p w:rsidR="00DC0000" w:rsidRPr="00DC0000"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lastRenderedPageBreak/>
        <w:t>Question 4</w:t>
      </w:r>
    </w:p>
    <w:p w:rsidR="00DD1AA5" w:rsidRDefault="00DC0000" w:rsidP="00F901FD">
      <w:pPr>
        <w:spacing w:before="220" w:after="200" w:line="480" w:lineRule="auto"/>
        <w:ind w:firstLine="720"/>
        <w:rPr>
          <w:rFonts w:ascii="Times New Roman" w:hAnsi="Times New Roman" w:cs="Times New Roman"/>
          <w:sz w:val="24"/>
          <w:szCs w:val="24"/>
        </w:rPr>
      </w:pPr>
      <w:r w:rsidRPr="00DC0000">
        <w:rPr>
          <w:rFonts w:ascii="Times New Roman" w:hAnsi="Times New Roman" w:cs="Times New Roman"/>
          <w:sz w:val="24"/>
          <w:szCs w:val="24"/>
        </w:rPr>
        <w:t>From the information above, the base pay for "clubbies" ranges from $7 to $8. The compensation increased from the traditional 1 dollar base pay. The base pay has increased despite the significant reduction in duties and responsibilities by contemporary "clubbies." On the other hand, the case study discloses that senior managers earn base salaries up to $80,000 per month. The managers are paid to compensate for their professional services to improve the performance of baseball teams. Apart from base pay, "clubbies" and clubhouse managers benefit from other forms of bonuses and compensations. For instance, "clubbies" receive rewards from players. Also, the case study reveals that clubhouse managers receive occasional bonuses from senior managers and players. Moreover, the case of Tommy McLaughlin shows that clubhouse managers may receive profit-sharing rewards. The case study reveals that the team decided to reward the clubhouse manager by giving him one full share of the club's stock. The kinds of compensation and reward systems in the case study expose local base-ball teams based on merit and performances. In essence, "clubbies" target wealthier players who are perceived to perform better by the club. On the other hand, clubhouse managers are rewarded based on their participation in the club's performance. Inarguably, Tommy McLaughlin would not have received the vast reward if he had performed poorly in the 2019 Major League Baseball season.</w:t>
      </w:r>
    </w:p>
    <w:p w:rsidR="00DC0000" w:rsidRDefault="00DC0000" w:rsidP="00C13EAA">
      <w:pPr>
        <w:spacing w:line="480" w:lineRule="auto"/>
        <w:ind w:firstLine="720"/>
        <w:rPr>
          <w:rFonts w:ascii="Times New Roman" w:hAnsi="Times New Roman" w:cs="Times New Roman"/>
          <w:sz w:val="24"/>
          <w:szCs w:val="24"/>
        </w:rPr>
      </w:pPr>
    </w:p>
    <w:p w:rsidR="00DC0000" w:rsidRDefault="00DC0000" w:rsidP="00C13EAA">
      <w:pPr>
        <w:spacing w:line="480" w:lineRule="auto"/>
        <w:ind w:firstLine="720"/>
        <w:rPr>
          <w:rFonts w:ascii="Times New Roman" w:hAnsi="Times New Roman" w:cs="Times New Roman"/>
          <w:sz w:val="24"/>
          <w:szCs w:val="24"/>
        </w:rPr>
      </w:pPr>
    </w:p>
    <w:p w:rsidR="00DC0000" w:rsidRDefault="00DC0000" w:rsidP="00C13EAA">
      <w:pPr>
        <w:spacing w:line="480" w:lineRule="auto"/>
        <w:ind w:firstLine="720"/>
        <w:rPr>
          <w:rFonts w:ascii="Times New Roman" w:hAnsi="Times New Roman" w:cs="Times New Roman"/>
          <w:sz w:val="24"/>
          <w:szCs w:val="24"/>
        </w:rPr>
      </w:pPr>
    </w:p>
    <w:p w:rsidR="00DC0000" w:rsidRDefault="00DC0000" w:rsidP="00C13EAA">
      <w:pPr>
        <w:spacing w:line="480" w:lineRule="auto"/>
        <w:ind w:firstLine="720"/>
        <w:rPr>
          <w:rFonts w:ascii="Times New Roman" w:hAnsi="Times New Roman" w:cs="Times New Roman"/>
          <w:sz w:val="24"/>
          <w:szCs w:val="24"/>
        </w:rPr>
      </w:pPr>
    </w:p>
    <w:p w:rsidR="003A44B4" w:rsidRDefault="00CD5E44" w:rsidP="00C13EAA">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References</w:t>
      </w:r>
    </w:p>
    <w:p w:rsidR="00C2031A" w:rsidRPr="00C13EAA" w:rsidRDefault="00C2031A" w:rsidP="00C2031A">
      <w:pPr>
        <w:spacing w:before="200" w:after="0" w:line="480" w:lineRule="auto"/>
        <w:ind w:left="720" w:hanging="720"/>
        <w:rPr>
          <w:rFonts w:ascii="Times New Roman" w:hAnsi="Times New Roman" w:cs="Times New Roman"/>
          <w:color w:val="222222"/>
          <w:sz w:val="24"/>
          <w:szCs w:val="24"/>
          <w:shd w:val="clear" w:color="auto" w:fill="FFFFFF"/>
        </w:rPr>
      </w:pPr>
      <w:r w:rsidRPr="00C13EAA">
        <w:rPr>
          <w:rFonts w:ascii="Times New Roman" w:hAnsi="Times New Roman" w:cs="Times New Roman"/>
          <w:color w:val="222222"/>
          <w:sz w:val="24"/>
          <w:szCs w:val="24"/>
          <w:shd w:val="clear" w:color="auto" w:fill="FFFFFF"/>
        </w:rPr>
        <w:t>Gerhart, B. A., &amp; Newman, J. M. (2020). </w:t>
      </w:r>
      <w:r w:rsidRPr="00C13EAA">
        <w:rPr>
          <w:rFonts w:ascii="Times New Roman" w:hAnsi="Times New Roman" w:cs="Times New Roman"/>
          <w:i/>
          <w:iCs/>
          <w:color w:val="222222"/>
          <w:sz w:val="24"/>
          <w:szCs w:val="24"/>
          <w:shd w:val="clear" w:color="auto" w:fill="FFFFFF"/>
        </w:rPr>
        <w:t>Compensation</w:t>
      </w:r>
      <w:r w:rsidRPr="00C13EAA">
        <w:rPr>
          <w:rFonts w:ascii="Times New Roman" w:hAnsi="Times New Roman" w:cs="Times New Roman"/>
          <w:color w:val="222222"/>
          <w:sz w:val="24"/>
          <w:szCs w:val="24"/>
          <w:shd w:val="clear" w:color="auto" w:fill="FFFFFF"/>
        </w:rPr>
        <w:t>. McGraw-Hill Education.</w:t>
      </w:r>
    </w:p>
    <w:p w:rsidR="00C2031A" w:rsidRPr="00C13EAA" w:rsidRDefault="00C2031A" w:rsidP="00C2031A">
      <w:pPr>
        <w:spacing w:before="200" w:after="0" w:line="480" w:lineRule="auto"/>
        <w:ind w:left="720" w:hanging="720"/>
        <w:rPr>
          <w:rFonts w:ascii="Times New Roman" w:hAnsi="Times New Roman" w:cs="Times New Roman"/>
          <w:color w:val="000000"/>
          <w:sz w:val="24"/>
          <w:szCs w:val="24"/>
          <w:shd w:val="clear" w:color="auto" w:fill="FFFFFF"/>
        </w:rPr>
      </w:pPr>
      <w:r w:rsidRPr="00C13EAA">
        <w:rPr>
          <w:rFonts w:ascii="Times New Roman" w:hAnsi="Times New Roman" w:cs="Times New Roman"/>
          <w:color w:val="000000"/>
          <w:sz w:val="24"/>
          <w:szCs w:val="24"/>
          <w:shd w:val="clear" w:color="auto" w:fill="FFFFFF"/>
        </w:rPr>
        <w:t xml:space="preserve">Pollack, B. (2017). What Gets Paid? Analyzing the Major League Baseball Contract Market. Retrieved 9 May 2021, from </w:t>
      </w:r>
      <w:hyperlink r:id="rId6" w:history="1">
        <w:r w:rsidRPr="00C13EAA">
          <w:rPr>
            <w:rStyle w:val="Hyperlink"/>
            <w:rFonts w:ascii="Times New Roman" w:hAnsi="Times New Roman" w:cs="Times New Roman"/>
            <w:sz w:val="24"/>
            <w:szCs w:val="24"/>
            <w:shd w:val="clear" w:color="auto" w:fill="FFFFFF"/>
          </w:rPr>
          <w:t>https://dukespace.lib.duke.edu/dspace/bitstream/handle/10161/14325/Pollack2017.pdf?sequence</w:t>
        </w:r>
      </w:hyperlink>
      <w:r w:rsidRPr="00C13EAA">
        <w:rPr>
          <w:rFonts w:ascii="Times New Roman" w:hAnsi="Times New Roman" w:cs="Times New Roman"/>
          <w:color w:val="000000"/>
          <w:sz w:val="24"/>
          <w:szCs w:val="24"/>
          <w:shd w:val="clear" w:color="auto" w:fill="FFFFFF"/>
        </w:rPr>
        <w:t>=</w:t>
      </w:r>
      <w:bookmarkStart w:id="0" w:name="_GoBack"/>
      <w:bookmarkEnd w:id="0"/>
    </w:p>
    <w:sectPr w:rsidR="00C2031A" w:rsidRPr="00C13EAA" w:rsidSect="00CA1C3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2A" w:rsidRDefault="00FC7F2A" w:rsidP="004F701E">
      <w:pPr>
        <w:spacing w:after="0" w:line="240" w:lineRule="auto"/>
      </w:pPr>
      <w:r>
        <w:separator/>
      </w:r>
    </w:p>
  </w:endnote>
  <w:endnote w:type="continuationSeparator" w:id="0">
    <w:p w:rsidR="00FC7F2A" w:rsidRDefault="00FC7F2A" w:rsidP="004F7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875" w:rsidRDefault="004E78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875" w:rsidRDefault="004E78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875" w:rsidRDefault="004E78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2A" w:rsidRDefault="00FC7F2A" w:rsidP="004F701E">
      <w:pPr>
        <w:spacing w:after="0" w:line="240" w:lineRule="auto"/>
      </w:pPr>
      <w:r>
        <w:separator/>
      </w:r>
    </w:p>
  </w:footnote>
  <w:footnote w:type="continuationSeparator" w:id="0">
    <w:p w:rsidR="00FC7F2A" w:rsidRDefault="00FC7F2A" w:rsidP="004F70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875" w:rsidRDefault="004E78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01E" w:rsidRPr="004F701E" w:rsidRDefault="00672475" w:rsidP="004F701E">
    <w:pPr>
      <w:pStyle w:val="Header"/>
      <w:spacing w:line="480" w:lineRule="auto"/>
      <w:rPr>
        <w:rFonts w:ascii="Times New Roman" w:hAnsi="Times New Roman" w:cs="Times New Roman"/>
        <w:sz w:val="24"/>
        <w:szCs w:val="24"/>
      </w:rPr>
    </w:pPr>
    <w:r>
      <w:rPr>
        <w:rFonts w:ascii="Times New Roman" w:hAnsi="Times New Roman" w:cs="Times New Roman"/>
        <w:sz w:val="24"/>
        <w:szCs w:val="24"/>
      </w:rPr>
      <w:t>HRM COMPENSATION AND BENEFITS CASE STUDIES</w:t>
    </w:r>
    <w:r w:rsidR="004F701E" w:rsidRPr="004F701E">
      <w:rPr>
        <w:rFonts w:ascii="Times New Roman" w:hAnsi="Times New Roman" w:cs="Times New Roman"/>
        <w:sz w:val="24"/>
        <w:szCs w:val="24"/>
      </w:rPr>
      <w:tab/>
    </w:r>
    <w:sdt>
      <w:sdtPr>
        <w:rPr>
          <w:rFonts w:ascii="Times New Roman" w:hAnsi="Times New Roman" w:cs="Times New Roman"/>
          <w:sz w:val="24"/>
          <w:szCs w:val="24"/>
        </w:rPr>
        <w:id w:val="518892582"/>
        <w:docPartObj>
          <w:docPartGallery w:val="Page Numbers (Top of Page)"/>
          <w:docPartUnique/>
        </w:docPartObj>
      </w:sdtPr>
      <w:sdtEndPr>
        <w:rPr>
          <w:noProof/>
        </w:rPr>
      </w:sdtEndPr>
      <w:sdtContent>
        <w:r w:rsidR="004F701E" w:rsidRPr="004F701E">
          <w:rPr>
            <w:rFonts w:ascii="Times New Roman" w:hAnsi="Times New Roman" w:cs="Times New Roman"/>
            <w:sz w:val="24"/>
            <w:szCs w:val="24"/>
          </w:rPr>
          <w:fldChar w:fldCharType="begin"/>
        </w:r>
        <w:r w:rsidR="004F701E" w:rsidRPr="004F701E">
          <w:rPr>
            <w:rFonts w:ascii="Times New Roman" w:hAnsi="Times New Roman" w:cs="Times New Roman"/>
            <w:sz w:val="24"/>
            <w:szCs w:val="24"/>
          </w:rPr>
          <w:instrText xml:space="preserve"> PAGE   \* MERGEFORMAT </w:instrText>
        </w:r>
        <w:r w:rsidR="004F701E" w:rsidRPr="004F701E">
          <w:rPr>
            <w:rFonts w:ascii="Times New Roman" w:hAnsi="Times New Roman" w:cs="Times New Roman"/>
            <w:sz w:val="24"/>
            <w:szCs w:val="24"/>
          </w:rPr>
          <w:fldChar w:fldCharType="separate"/>
        </w:r>
        <w:r w:rsidR="004E7875">
          <w:rPr>
            <w:rFonts w:ascii="Times New Roman" w:hAnsi="Times New Roman" w:cs="Times New Roman"/>
            <w:noProof/>
            <w:sz w:val="24"/>
            <w:szCs w:val="24"/>
          </w:rPr>
          <w:t>6</w:t>
        </w:r>
        <w:r w:rsidR="004F701E" w:rsidRPr="004F701E">
          <w:rPr>
            <w:rFonts w:ascii="Times New Roman" w:hAnsi="Times New Roman" w:cs="Times New Roman"/>
            <w:noProof/>
            <w:sz w:val="24"/>
            <w:szCs w:val="24"/>
          </w:rPr>
          <w:fldChar w:fldCharType="end"/>
        </w:r>
      </w:sdtContent>
    </w:sdt>
  </w:p>
  <w:p w:rsidR="004F701E" w:rsidRDefault="004F70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01E" w:rsidRPr="00CA1C37" w:rsidRDefault="00CA1C37" w:rsidP="00CA1C37">
    <w:pPr>
      <w:pStyle w:val="Header"/>
      <w:spacing w:line="480" w:lineRule="auto"/>
      <w:rPr>
        <w:rFonts w:ascii="Times New Roman" w:hAnsi="Times New Roman" w:cs="Times New Roman"/>
        <w:sz w:val="24"/>
        <w:szCs w:val="24"/>
      </w:rPr>
    </w:pPr>
    <w:r>
      <w:rPr>
        <w:rFonts w:ascii="Times New Roman" w:hAnsi="Times New Roman" w:cs="Times New Roman"/>
        <w:sz w:val="24"/>
        <w:szCs w:val="24"/>
      </w:rPr>
      <w:t>Running head: HRM COMPENSATION AND BENEFITS CASE STUDIES</w:t>
    </w:r>
    <w:r w:rsidRPr="004F701E">
      <w:rPr>
        <w:rFonts w:ascii="Times New Roman" w:hAnsi="Times New Roman" w:cs="Times New Roman"/>
        <w:sz w:val="24"/>
        <w:szCs w:val="24"/>
      </w:rPr>
      <w:tab/>
    </w:r>
    <w:sdt>
      <w:sdtPr>
        <w:rPr>
          <w:rFonts w:ascii="Times New Roman" w:hAnsi="Times New Roman" w:cs="Times New Roman"/>
          <w:sz w:val="24"/>
          <w:szCs w:val="24"/>
        </w:rPr>
        <w:id w:val="764725735"/>
        <w:docPartObj>
          <w:docPartGallery w:val="Page Numbers (Top of Page)"/>
          <w:docPartUnique/>
        </w:docPartObj>
      </w:sdtPr>
      <w:sdtEndPr>
        <w:rPr>
          <w:noProof/>
        </w:rPr>
      </w:sdtEndPr>
      <w:sdtContent>
        <w:r w:rsidRPr="004F701E">
          <w:rPr>
            <w:rFonts w:ascii="Times New Roman" w:hAnsi="Times New Roman" w:cs="Times New Roman"/>
            <w:sz w:val="24"/>
            <w:szCs w:val="24"/>
          </w:rPr>
          <w:fldChar w:fldCharType="begin"/>
        </w:r>
        <w:r w:rsidRPr="004F701E">
          <w:rPr>
            <w:rFonts w:ascii="Times New Roman" w:hAnsi="Times New Roman" w:cs="Times New Roman"/>
            <w:sz w:val="24"/>
            <w:szCs w:val="24"/>
          </w:rPr>
          <w:instrText xml:space="preserve"> PAGE   \* MERGEFORMAT </w:instrText>
        </w:r>
        <w:r w:rsidRPr="004F701E">
          <w:rPr>
            <w:rFonts w:ascii="Times New Roman" w:hAnsi="Times New Roman" w:cs="Times New Roman"/>
            <w:sz w:val="24"/>
            <w:szCs w:val="24"/>
          </w:rPr>
          <w:fldChar w:fldCharType="separate"/>
        </w:r>
        <w:r w:rsidR="004E7875">
          <w:rPr>
            <w:rFonts w:ascii="Times New Roman" w:hAnsi="Times New Roman" w:cs="Times New Roman"/>
            <w:noProof/>
            <w:sz w:val="24"/>
            <w:szCs w:val="24"/>
          </w:rPr>
          <w:t>1</w:t>
        </w:r>
        <w:r w:rsidRPr="004F701E">
          <w:rPr>
            <w:rFonts w:ascii="Times New Roman" w:hAnsi="Times New Roman" w:cs="Times New Roman"/>
            <w:noProof/>
            <w:sz w:val="24"/>
            <w:szCs w:val="24"/>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01E"/>
    <w:rsid w:val="00017DCA"/>
    <w:rsid w:val="0003332F"/>
    <w:rsid w:val="00050E89"/>
    <w:rsid w:val="000641D4"/>
    <w:rsid w:val="00073C04"/>
    <w:rsid w:val="00091CA4"/>
    <w:rsid w:val="000B7201"/>
    <w:rsid w:val="000C2B02"/>
    <w:rsid w:val="000F6E0B"/>
    <w:rsid w:val="0010633D"/>
    <w:rsid w:val="00112A9B"/>
    <w:rsid w:val="00117DF7"/>
    <w:rsid w:val="00134558"/>
    <w:rsid w:val="00185795"/>
    <w:rsid w:val="001A728C"/>
    <w:rsid w:val="001E20D7"/>
    <w:rsid w:val="001E2EA2"/>
    <w:rsid w:val="001F7879"/>
    <w:rsid w:val="00234904"/>
    <w:rsid w:val="00241465"/>
    <w:rsid w:val="002639ED"/>
    <w:rsid w:val="00267B6A"/>
    <w:rsid w:val="00303C46"/>
    <w:rsid w:val="00313BA4"/>
    <w:rsid w:val="003976E0"/>
    <w:rsid w:val="003A3301"/>
    <w:rsid w:val="003A44B4"/>
    <w:rsid w:val="00431E82"/>
    <w:rsid w:val="00433942"/>
    <w:rsid w:val="00452480"/>
    <w:rsid w:val="004539D1"/>
    <w:rsid w:val="00454B4D"/>
    <w:rsid w:val="004811CC"/>
    <w:rsid w:val="00494C03"/>
    <w:rsid w:val="004B3713"/>
    <w:rsid w:val="004D1EAD"/>
    <w:rsid w:val="004E7875"/>
    <w:rsid w:val="004F701E"/>
    <w:rsid w:val="0054793F"/>
    <w:rsid w:val="005A0EC2"/>
    <w:rsid w:val="005A2146"/>
    <w:rsid w:val="005B17B3"/>
    <w:rsid w:val="005C01B3"/>
    <w:rsid w:val="005D1DED"/>
    <w:rsid w:val="00620092"/>
    <w:rsid w:val="00672475"/>
    <w:rsid w:val="006B6988"/>
    <w:rsid w:val="006F5162"/>
    <w:rsid w:val="00744327"/>
    <w:rsid w:val="00784D17"/>
    <w:rsid w:val="007B1222"/>
    <w:rsid w:val="00837908"/>
    <w:rsid w:val="00863947"/>
    <w:rsid w:val="008874E6"/>
    <w:rsid w:val="008B4973"/>
    <w:rsid w:val="008D2728"/>
    <w:rsid w:val="008D6FBC"/>
    <w:rsid w:val="00926A70"/>
    <w:rsid w:val="00927CE0"/>
    <w:rsid w:val="00956A25"/>
    <w:rsid w:val="009C3146"/>
    <w:rsid w:val="009F4802"/>
    <w:rsid w:val="009F57F6"/>
    <w:rsid w:val="00A101C7"/>
    <w:rsid w:val="00A40671"/>
    <w:rsid w:val="00A53B85"/>
    <w:rsid w:val="00A852C6"/>
    <w:rsid w:val="00A87C6C"/>
    <w:rsid w:val="00A96F1D"/>
    <w:rsid w:val="00AB6309"/>
    <w:rsid w:val="00AC42F2"/>
    <w:rsid w:val="00AD6E40"/>
    <w:rsid w:val="00B06B19"/>
    <w:rsid w:val="00B416C8"/>
    <w:rsid w:val="00B47FD9"/>
    <w:rsid w:val="00B77227"/>
    <w:rsid w:val="00BA2485"/>
    <w:rsid w:val="00BC7D7A"/>
    <w:rsid w:val="00BE15EC"/>
    <w:rsid w:val="00C13EAA"/>
    <w:rsid w:val="00C2031A"/>
    <w:rsid w:val="00C4107F"/>
    <w:rsid w:val="00C44CCF"/>
    <w:rsid w:val="00C755B6"/>
    <w:rsid w:val="00C80FC5"/>
    <w:rsid w:val="00C82C6C"/>
    <w:rsid w:val="00C848B8"/>
    <w:rsid w:val="00CA1C37"/>
    <w:rsid w:val="00CC4517"/>
    <w:rsid w:val="00CD5E44"/>
    <w:rsid w:val="00D01E1F"/>
    <w:rsid w:val="00D029F0"/>
    <w:rsid w:val="00D34E9F"/>
    <w:rsid w:val="00D93DB7"/>
    <w:rsid w:val="00DC0000"/>
    <w:rsid w:val="00DD1AA5"/>
    <w:rsid w:val="00DE0973"/>
    <w:rsid w:val="00E162AB"/>
    <w:rsid w:val="00E3386F"/>
    <w:rsid w:val="00E54D76"/>
    <w:rsid w:val="00E54F69"/>
    <w:rsid w:val="00E55CEE"/>
    <w:rsid w:val="00E56CAF"/>
    <w:rsid w:val="00E62F1E"/>
    <w:rsid w:val="00E65C40"/>
    <w:rsid w:val="00F05253"/>
    <w:rsid w:val="00F6623E"/>
    <w:rsid w:val="00F901FD"/>
    <w:rsid w:val="00FC7F2A"/>
    <w:rsid w:val="00FF7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7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01E"/>
  </w:style>
  <w:style w:type="paragraph" w:styleId="Footer">
    <w:name w:val="footer"/>
    <w:basedOn w:val="Normal"/>
    <w:link w:val="FooterChar"/>
    <w:uiPriority w:val="99"/>
    <w:unhideWhenUsed/>
    <w:rsid w:val="004F7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01E"/>
  </w:style>
  <w:style w:type="character" w:styleId="Hyperlink">
    <w:name w:val="Hyperlink"/>
    <w:basedOn w:val="DefaultParagraphFont"/>
    <w:uiPriority w:val="99"/>
    <w:unhideWhenUsed/>
    <w:rsid w:val="00CD5E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ukespace.lib.duke.edu/dspace/bitstream/handle/10161/14325/Pollack2017.pdf?sequence"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1139</Words>
  <Characters>6497</Characters>
  <Application>Microsoft Office Word</Application>
  <DocSecurity>0</DocSecurity>
  <Lines>54</Lines>
  <Paragraphs>15</Paragraphs>
  <ScaleCrop>false</ScaleCrop>
  <Company/>
  <LinksUpToDate>false</LinksUpToDate>
  <CharactersWithSpaces>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2021-05-09T13:44:00Z</dcterms:created>
  <dcterms:modified xsi:type="dcterms:W3CDTF">2021-05-09T13:44:00Z</dcterms:modified>
</cp:coreProperties>
</file>