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71" w:rsidRPr="00BE67AB" w:rsidRDefault="005A2D71" w:rsidP="00625798">
      <w:pPr>
        <w:spacing w:line="480" w:lineRule="auto"/>
        <w:jc w:val="center"/>
        <w:outlineLvl w:val="0"/>
        <w:rPr>
          <w:rFonts w:ascii="Times New Roman" w:eastAsiaTheme="minorEastAsia" w:hAnsi="Times New Roman"/>
          <w:b/>
          <w:color w:val="C45911" w:themeColor="accent2" w:themeShade="BF"/>
        </w:rPr>
      </w:pPr>
      <w:r w:rsidRPr="00BE67AB">
        <w:rPr>
          <w:rFonts w:ascii="Times New Roman" w:eastAsiaTheme="minorEastAsia" w:hAnsi="Times New Roman"/>
          <w:b/>
          <w:color w:val="C45911" w:themeColor="accent2" w:themeShade="BF"/>
        </w:rPr>
        <w:t>OPER 704: Literature Review</w:t>
      </w:r>
    </w:p>
    <w:p w:rsidR="005A2D71" w:rsidRPr="00BE67AB" w:rsidRDefault="005A2D71" w:rsidP="00625798">
      <w:pPr>
        <w:spacing w:line="480" w:lineRule="auto"/>
        <w:jc w:val="center"/>
        <w:outlineLvl w:val="0"/>
        <w:rPr>
          <w:rFonts w:ascii="Times New Roman" w:eastAsiaTheme="minorEastAsia" w:hAnsi="Times New Roman"/>
          <w:b/>
          <w:color w:val="C45911" w:themeColor="accent2" w:themeShade="BF"/>
        </w:rPr>
      </w:pPr>
      <w:r w:rsidRPr="00BE67AB">
        <w:rPr>
          <w:rFonts w:ascii="Times New Roman" w:eastAsiaTheme="minorEastAsia" w:hAnsi="Times New Roman"/>
          <w:b/>
          <w:color w:val="C45911" w:themeColor="accent2" w:themeShade="BF"/>
        </w:rPr>
        <w:t>Article# 1</w:t>
      </w:r>
    </w:p>
    <w:p w:rsidR="005A2D71" w:rsidRPr="00BE67AB" w:rsidRDefault="005A2D71" w:rsidP="00625798">
      <w:pPr>
        <w:spacing w:line="480" w:lineRule="auto"/>
        <w:jc w:val="center"/>
        <w:rPr>
          <w:rFonts w:ascii="Times New Roman" w:hAnsi="Times New Roman"/>
          <w:color w:val="000000"/>
        </w:rPr>
      </w:pPr>
    </w:p>
    <w:tbl>
      <w:tblPr>
        <w:tblpPr w:leftFromText="180" w:rightFromText="180" w:vertAnchor="text" w:horzAnchor="page" w:tblpX="1221" w:tblpY="70"/>
        <w:tblW w:w="9724" w:type="dxa"/>
        <w:tblLook w:val="04A0" w:firstRow="1" w:lastRow="0" w:firstColumn="1" w:lastColumn="0" w:noHBand="0" w:noVBand="1"/>
      </w:tblPr>
      <w:tblGrid>
        <w:gridCol w:w="9724"/>
      </w:tblGrid>
      <w:tr w:rsidR="005A2D71" w:rsidRPr="00BE67AB" w:rsidTr="00A3142A">
        <w:trPr>
          <w:trHeight w:val="432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color w:val="000000"/>
                <w:u w:val="single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Student:</w:t>
            </w:r>
          </w:p>
        </w:tc>
      </w:tr>
      <w:tr w:rsidR="005A2D71" w:rsidRPr="00BE67AB" w:rsidTr="00A3142A">
        <w:trPr>
          <w:trHeight w:val="432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Article Title:</w:t>
            </w:r>
            <w:r w:rsidRPr="00BE67AB">
              <w:rPr>
                <w:rFonts w:ascii="Times New Roman" w:hAnsi="Times New Roman"/>
              </w:rPr>
              <w:t xml:space="preserve">  Enamel Thickness After Preparation of Tooth for Porcelain Laminate</w:t>
            </w:r>
          </w:p>
        </w:tc>
      </w:tr>
      <w:tr w:rsidR="005A2D71" w:rsidRPr="00BE67AB" w:rsidTr="00A3142A">
        <w:trPr>
          <w:trHeight w:val="347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widowControl w:val="0"/>
              <w:tabs>
                <w:tab w:val="left" w:pos="2269"/>
              </w:tabs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Author(s):</w:t>
            </w:r>
            <w:r w:rsidRPr="00BE67AB">
              <w:rPr>
                <w:rFonts w:ascii="Times New Roman" w:hAnsi="Times New Roman"/>
                <w:color w:val="000000"/>
              </w:rPr>
              <w:t xml:space="preserve"> </w:t>
            </w:r>
            <w:r w:rsidRPr="00BE67AB">
              <w:rPr>
                <w:rFonts w:ascii="Times New Roman" w:hAnsi="Times New Roman"/>
              </w:rPr>
              <w:t xml:space="preserve"> </w:t>
            </w:r>
            <w:proofErr w:type="spellStart"/>
            <w:r w:rsidRPr="00BE67AB">
              <w:rPr>
                <w:rFonts w:ascii="Times New Roman" w:hAnsi="Times New Roman"/>
              </w:rPr>
              <w:t>Pahlevan.A</w:t>
            </w:r>
            <w:proofErr w:type="spellEnd"/>
            <w:r w:rsidRPr="00BE67AB">
              <w:rPr>
                <w:rFonts w:ascii="Times New Roman" w:hAnsi="Times New Roman"/>
              </w:rPr>
              <w:t xml:space="preserve">,  </w:t>
            </w:r>
            <w:proofErr w:type="spellStart"/>
            <w:r w:rsidRPr="00BE67AB">
              <w:rPr>
                <w:rFonts w:ascii="Times New Roman" w:hAnsi="Times New Roman"/>
              </w:rPr>
              <w:t>Mansoreh</w:t>
            </w:r>
            <w:proofErr w:type="spellEnd"/>
            <w:r w:rsidRPr="00BE67AB">
              <w:rPr>
                <w:rFonts w:ascii="Times New Roman" w:hAnsi="Times New Roman"/>
              </w:rPr>
              <w:t xml:space="preserve"> M, </w:t>
            </w:r>
            <w:proofErr w:type="spellStart"/>
            <w:r w:rsidRPr="00BE67AB">
              <w:rPr>
                <w:rFonts w:ascii="Times New Roman" w:hAnsi="Times New Roman"/>
              </w:rPr>
              <w:t>Esmaeil</w:t>
            </w:r>
            <w:proofErr w:type="spellEnd"/>
            <w:r w:rsidRPr="00BE67AB">
              <w:rPr>
                <w:rFonts w:ascii="Times New Roman" w:hAnsi="Times New Roman"/>
              </w:rPr>
              <w:t xml:space="preserve"> Y, </w:t>
            </w:r>
            <w:proofErr w:type="spellStart"/>
            <w:r w:rsidRPr="00BE67AB">
              <w:rPr>
                <w:rFonts w:ascii="Times New Roman" w:hAnsi="Times New Roman"/>
              </w:rPr>
              <w:t>Ladan</w:t>
            </w:r>
            <w:proofErr w:type="spellEnd"/>
            <w:r w:rsidRPr="00BE67AB">
              <w:rPr>
                <w:rFonts w:ascii="Times New Roman" w:hAnsi="Times New Roman"/>
              </w:rPr>
              <w:t xml:space="preserve"> O, </w:t>
            </w:r>
            <w:proofErr w:type="spellStart"/>
            <w:r w:rsidRPr="00BE67AB">
              <w:rPr>
                <w:rFonts w:ascii="Times New Roman" w:hAnsi="Times New Roman"/>
              </w:rPr>
              <w:t>Masumeh</w:t>
            </w:r>
            <w:proofErr w:type="spellEnd"/>
            <w:r w:rsidRPr="00BE67AB">
              <w:rPr>
                <w:rFonts w:ascii="Times New Roman" w:hAnsi="Times New Roman"/>
              </w:rPr>
              <w:t xml:space="preserve"> T, Hamid K, </w:t>
            </w:r>
            <w:proofErr w:type="spellStart"/>
            <w:r w:rsidRPr="00BE67AB">
              <w:rPr>
                <w:rFonts w:ascii="Times New Roman" w:hAnsi="Times New Roman"/>
              </w:rPr>
              <w:t>Sakineh</w:t>
            </w:r>
            <w:proofErr w:type="spellEnd"/>
            <w:r w:rsidRPr="00BE67AB">
              <w:rPr>
                <w:rFonts w:ascii="Times New Roman" w:hAnsi="Times New Roman"/>
              </w:rPr>
              <w:t xml:space="preserve"> A, </w:t>
            </w:r>
            <w:proofErr w:type="spellStart"/>
            <w:r w:rsidRPr="00BE67AB">
              <w:rPr>
                <w:rFonts w:ascii="Times New Roman" w:hAnsi="Times New Roman"/>
              </w:rPr>
              <w:t>Mehdy</w:t>
            </w:r>
            <w:proofErr w:type="spellEnd"/>
            <w:r w:rsidRPr="00BE67AB">
              <w:rPr>
                <w:rFonts w:ascii="Times New Roman" w:hAnsi="Times New Roman"/>
              </w:rPr>
              <w:t xml:space="preserve"> A</w:t>
            </w:r>
          </w:p>
        </w:tc>
      </w:tr>
      <w:tr w:rsidR="005A2D71" w:rsidRPr="00BE67AB" w:rsidTr="00A3142A">
        <w:trPr>
          <w:trHeight w:val="367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Journal:</w:t>
            </w:r>
            <w:r w:rsidRPr="00BE67AB">
              <w:rPr>
                <w:rFonts w:ascii="Times New Roman" w:hAnsi="Times New Roman"/>
                <w:color w:val="000000"/>
              </w:rPr>
              <w:t xml:space="preserve">  </w:t>
            </w:r>
            <w:r w:rsidRPr="00BE67AB">
              <w:rPr>
                <w:rFonts w:ascii="Times New Roman" w:hAnsi="Times New Roman"/>
              </w:rPr>
              <w:t xml:space="preserve"> Journal of Dentistry (JOD)</w:t>
            </w:r>
          </w:p>
        </w:tc>
      </w:tr>
      <w:tr w:rsidR="005A2D71" w:rsidRPr="00BE67AB" w:rsidTr="00A3142A">
        <w:trPr>
          <w:trHeight w:val="356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Year:</w:t>
            </w:r>
            <w:r w:rsidRPr="00BE67AB">
              <w:rPr>
                <w:rFonts w:ascii="Times New Roman" w:hAnsi="Times New Roman"/>
                <w:color w:val="000000"/>
              </w:rPr>
              <w:t xml:space="preserve"> </w:t>
            </w:r>
            <w:r w:rsidRPr="00BE67AB">
              <w:rPr>
                <w:rFonts w:ascii="Times New Roman" w:hAnsi="Times New Roman"/>
              </w:rPr>
              <w:t xml:space="preserve"> 2014</w:t>
            </w:r>
          </w:p>
        </w:tc>
      </w:tr>
      <w:tr w:rsidR="005A2D71" w:rsidRPr="00BE67AB" w:rsidTr="00A3142A">
        <w:trPr>
          <w:trHeight w:val="367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Topic:</w:t>
            </w:r>
            <w:r w:rsidRPr="00BE67AB">
              <w:rPr>
                <w:rFonts w:ascii="Times New Roman" w:hAnsi="Times New Roman"/>
                <w:color w:val="000000"/>
              </w:rPr>
              <w:t xml:space="preserve"> Minimal invasive tooth preparation (Veneer)</w:t>
            </w:r>
          </w:p>
        </w:tc>
      </w:tr>
      <w:tr w:rsidR="005A2D71" w:rsidRPr="00BE67AB" w:rsidTr="00A3142A">
        <w:trPr>
          <w:trHeight w:val="347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spacing w:line="480" w:lineRule="auto"/>
              <w:rPr>
                <w:rFonts w:ascii="Times New Roman" w:hAnsi="Times New Roman"/>
                <w:color w:val="000000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Type of Article:</w:t>
            </w:r>
            <w:r w:rsidRPr="00BE67AB">
              <w:rPr>
                <w:rFonts w:ascii="Times New Roman" w:hAnsi="Times New Roman"/>
                <w:color w:val="000000"/>
              </w:rPr>
              <w:t xml:space="preserve">  Research        </w:t>
            </w:r>
          </w:p>
        </w:tc>
      </w:tr>
      <w:tr w:rsidR="005A2D71" w:rsidRPr="00BE67AB" w:rsidTr="00A3142A">
        <w:trPr>
          <w:trHeight w:val="413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Main Purpose</w:t>
            </w:r>
            <w:r w:rsidRPr="00BE67AB">
              <w:rPr>
                <w:rFonts w:ascii="Times New Roman" w:hAnsi="Times New Roman"/>
                <w:color w:val="000000"/>
              </w:rPr>
              <w:t xml:space="preserve">: </w:t>
            </w:r>
            <w:r w:rsidR="00625798" w:rsidRPr="00BE67AB">
              <w:rPr>
                <w:rFonts w:ascii="Times New Roman" w:hAnsi="Times New Roman"/>
              </w:rPr>
              <w:t xml:space="preserve">To investigate the thickness of the enamel after a tooth was prepared for porcelain laminate and the effectiveness and importance of the process. </w:t>
            </w:r>
          </w:p>
        </w:tc>
      </w:tr>
      <w:tr w:rsidR="005A2D71" w:rsidRPr="00BE67AB" w:rsidTr="00A3142A">
        <w:trPr>
          <w:trHeight w:val="4414"/>
        </w:trPr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:rsidR="005A2D71" w:rsidRPr="00BE67AB" w:rsidRDefault="005A2D71" w:rsidP="00625798">
            <w:pPr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color w:val="000000"/>
                <w:u w:val="single"/>
              </w:rPr>
              <w:t>Key Points/Summary:</w:t>
            </w:r>
          </w:p>
          <w:p w:rsidR="005A2D71" w:rsidRPr="00BE67AB" w:rsidRDefault="005A2D71" w:rsidP="00625798">
            <w:pPr>
              <w:pStyle w:val="NormalWeb"/>
              <w:spacing w:line="480" w:lineRule="auto"/>
            </w:pPr>
            <w:r w:rsidRPr="00BE67AB">
              <w:t>Key words: Thickness; Laminate; Minimal preparation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>Overall summary: Small summary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  <w:b/>
                <w:u w:val="single"/>
              </w:rPr>
              <w:t>Introduction:</w:t>
            </w:r>
          </w:p>
          <w:p w:rsidR="005A2D71" w:rsidRPr="00BE67AB" w:rsidRDefault="005A2D71" w:rsidP="00625798">
            <w:pPr>
              <w:spacing w:line="480" w:lineRule="auto"/>
              <w:ind w:firstLine="720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 xml:space="preserve">For this article, the authors sought to investigate the thickness of the enamel after a porcelain veneer was used for preparation. The approach has been in use for a very long time and is an established method widely accepted by professionals in the field. Although some professionals believe that preparation is not a necessary process, the article iterates on its </w:t>
            </w:r>
            <w:r w:rsidRPr="00BE67AB">
              <w:rPr>
                <w:rFonts w:ascii="Times New Roman" w:hAnsi="Times New Roman"/>
              </w:rPr>
              <w:lastRenderedPageBreak/>
              <w:t xml:space="preserve">importance by stating that the approach is critical and must be carried out in the enamel. Dentists can either use a conservative or radical approach. By investigating how the thickness in the labial surface affects preparation for the procedure, the procedure can be carried out effectively and have major benefits. 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  <w:b/>
                <w:u w:val="single"/>
              </w:rPr>
              <w:t>Materials &amp; Methods:</w:t>
            </w:r>
          </w:p>
          <w:p w:rsidR="00625798" w:rsidRPr="00BE67AB" w:rsidRDefault="00625798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i/>
              </w:rPr>
            </w:pPr>
            <w:r w:rsidRPr="00BE67AB">
              <w:rPr>
                <w:rFonts w:ascii="Times New Roman" w:hAnsi="Times New Roman"/>
                <w:i/>
              </w:rPr>
              <w:t>The research was carried out in the following materials and steps/methods;</w:t>
            </w:r>
          </w:p>
          <w:p w:rsidR="005A2D71" w:rsidRPr="00BE67AB" w:rsidRDefault="005A2D71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 xml:space="preserve">20 extracted human maxillary central and lateral incisors. 10 for each. </w:t>
            </w:r>
          </w:p>
          <w:p w:rsidR="005A2D71" w:rsidRPr="00BE67AB" w:rsidRDefault="005A2D71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 xml:space="preserve">The </w:t>
            </w:r>
            <w:r w:rsidR="00625798" w:rsidRPr="00BE67AB">
              <w:rPr>
                <w:rFonts w:ascii="Times New Roman" w:hAnsi="Times New Roman"/>
              </w:rPr>
              <w:t>samples were then</w:t>
            </w:r>
            <w:r w:rsidRPr="00BE67AB">
              <w:rPr>
                <w:rFonts w:ascii="Times New Roman" w:hAnsi="Times New Roman"/>
              </w:rPr>
              <w:t xml:space="preserve"> imbedded in ‘</w:t>
            </w:r>
            <w:proofErr w:type="spellStart"/>
            <w:r w:rsidRPr="00BE67AB">
              <w:rPr>
                <w:rFonts w:ascii="Times New Roman" w:hAnsi="Times New Roman"/>
              </w:rPr>
              <w:t>autopolimerize</w:t>
            </w:r>
            <w:proofErr w:type="spellEnd"/>
            <w:r w:rsidRPr="00BE67AB">
              <w:rPr>
                <w:rFonts w:ascii="Times New Roman" w:hAnsi="Times New Roman"/>
              </w:rPr>
              <w:t xml:space="preserve"> acrylic resin’.</w:t>
            </w:r>
          </w:p>
          <w:p w:rsidR="005A2D71" w:rsidRPr="00BE67AB" w:rsidRDefault="00625798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</w:rPr>
            </w:pPr>
            <w:r w:rsidRPr="00BE67AB">
              <w:rPr>
                <w:rFonts w:ascii="Times New Roman" w:hAnsi="Times New Roman"/>
              </w:rPr>
              <w:t xml:space="preserve">The next step involved carrying out a cross-section through the midline of the </w:t>
            </w:r>
            <w:r w:rsidR="005A2D71" w:rsidRPr="00BE67AB">
              <w:rPr>
                <w:rFonts w:ascii="Times New Roman" w:hAnsi="Times New Roman"/>
              </w:rPr>
              <w:t>incisal, middle and cervical labial of the surface is performed.</w:t>
            </w:r>
          </w:p>
          <w:p w:rsidR="005A2D71" w:rsidRPr="00BE67AB" w:rsidRDefault="00586ACE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>The teeth are then observed</w:t>
            </w:r>
            <w:r w:rsidR="005A2D71" w:rsidRPr="00BE67AB">
              <w:rPr>
                <w:rFonts w:ascii="Times New Roman" w:hAnsi="Times New Roman"/>
              </w:rPr>
              <w:t xml:space="preserve"> under </w:t>
            </w:r>
            <w:r w:rsidRPr="00BE67AB">
              <w:rPr>
                <w:rFonts w:ascii="Times New Roman" w:hAnsi="Times New Roman"/>
              </w:rPr>
              <w:t xml:space="preserve">a </w:t>
            </w:r>
            <w:r w:rsidR="005A2D71" w:rsidRPr="00BE67AB">
              <w:rPr>
                <w:rFonts w:ascii="Times New Roman" w:hAnsi="Times New Roman"/>
              </w:rPr>
              <w:t>stereomicroscope</w:t>
            </w:r>
            <w:r w:rsidRPr="00BE67AB">
              <w:rPr>
                <w:rFonts w:ascii="Times New Roman" w:hAnsi="Times New Roman"/>
              </w:rPr>
              <w:t xml:space="preserve"> and the thickness of the enamel then recorded.</w:t>
            </w:r>
          </w:p>
          <w:p w:rsidR="005A2D71" w:rsidRPr="00BE67AB" w:rsidRDefault="005A2D71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>Effects on two preparation methods (knife-edge and chamfer) are analyzed</w:t>
            </w:r>
            <w:r w:rsidR="00586ACE" w:rsidRPr="00BE67AB">
              <w:rPr>
                <w:rFonts w:ascii="Times New Roman" w:hAnsi="Times New Roman"/>
              </w:rPr>
              <w:t xml:space="preserve"> using 30 samples</w:t>
            </w:r>
            <w:r w:rsidRPr="00BE67AB">
              <w:rPr>
                <w:rFonts w:ascii="Times New Roman" w:hAnsi="Times New Roman"/>
              </w:rPr>
              <w:t>.</w:t>
            </w:r>
          </w:p>
          <w:p w:rsidR="005A2D71" w:rsidRPr="00BE67AB" w:rsidRDefault="005A2D71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>Embedment is carried out using a silicon mold and then cut in the midline.</w:t>
            </w:r>
          </w:p>
          <w:p w:rsidR="005A2D71" w:rsidRPr="00BE67AB" w:rsidRDefault="005A2D71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>Surfaces were then polished and the enamel observed.</w:t>
            </w:r>
          </w:p>
          <w:p w:rsidR="005A2D71" w:rsidRPr="00BE67AB" w:rsidRDefault="00586ACE" w:rsidP="00625798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</w:rPr>
              <w:t>ANOVA-one way</w:t>
            </w:r>
            <w:r w:rsidRPr="00BE67AB">
              <w:rPr>
                <w:rFonts w:ascii="Times New Roman" w:hAnsi="Times New Roman"/>
              </w:rPr>
              <w:t xml:space="preserve"> was then used to analyze the data. 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b/>
                <w:u w:val="single"/>
              </w:rPr>
              <w:t>Results</w:t>
            </w:r>
            <w:r w:rsidRPr="00BE67AB">
              <w:rPr>
                <w:rFonts w:ascii="Times New Roman" w:hAnsi="Times New Roman"/>
              </w:rPr>
              <w:t>:</w:t>
            </w:r>
          </w:p>
          <w:p w:rsidR="005A2D71" w:rsidRPr="00365019" w:rsidRDefault="00625798" w:rsidP="0036501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proofErr w:type="spellStart"/>
            <w:r w:rsidRPr="00BE67AB">
              <w:rPr>
                <w:rFonts w:ascii="Times New Roman" w:hAnsi="Times New Roman"/>
                <w:b/>
              </w:rPr>
              <w:t>Statistic</w:t>
            </w:r>
            <w:proofErr w:type="spellEnd"/>
            <w:r w:rsidRPr="00BE67AB">
              <w:rPr>
                <w:rFonts w:ascii="Times New Roman" w:hAnsi="Times New Roman"/>
                <w:b/>
              </w:rPr>
              <w:t xml:space="preserve"> Analysis</w:t>
            </w:r>
            <w:r w:rsidRPr="00BE67AB">
              <w:rPr>
                <w:rFonts w:ascii="Times New Roman" w:hAnsi="Times New Roman"/>
              </w:rPr>
              <w:t xml:space="preserve">:  </w:t>
            </w:r>
            <w:r w:rsidR="00365019">
              <w:rPr>
                <w:rFonts w:ascii="Times New Roman" w:hAnsi="Times New Roman"/>
              </w:rPr>
              <w:t>When the one-third incisal area was checked, the m</w:t>
            </w:r>
            <w:bookmarkStart w:id="0" w:name="_GoBack"/>
            <w:bookmarkEnd w:id="0"/>
            <w:r w:rsidR="00BE67AB">
              <w:rPr>
                <w:rFonts w:ascii="Times New Roman" w:hAnsi="Times New Roman"/>
              </w:rPr>
              <w:t>inimum thickness of the enamel in the central incisor was 345</w:t>
            </w:r>
            <w:r w:rsidR="00BE67AB" w:rsidRPr="00BE67AB">
              <w:rPr>
                <w:rStyle w:val="fontstyle01"/>
              </w:rPr>
              <w:t>μ</w:t>
            </w:r>
            <w:r w:rsidR="00BE67AB">
              <w:rPr>
                <w:rStyle w:val="fontstyle01"/>
              </w:rPr>
              <w:t xml:space="preserve"> and 325</w:t>
            </w:r>
            <w:r w:rsidR="00BE67AB" w:rsidRPr="00BE67AB">
              <w:rPr>
                <w:rStyle w:val="fontstyle01"/>
              </w:rPr>
              <w:t>μ</w:t>
            </w:r>
            <w:r w:rsidR="00BE67AB">
              <w:rPr>
                <w:rStyle w:val="fontstyle01"/>
              </w:rPr>
              <w:t xml:space="preserve"> in the </w:t>
            </w:r>
            <w:r w:rsidR="00365019">
              <w:rPr>
                <w:rStyle w:val="fontstyle01"/>
              </w:rPr>
              <w:t xml:space="preserve">lateral incisor. On the other hand, the maximum was </w:t>
            </w:r>
            <w:r w:rsidRPr="00BE67AB">
              <w:rPr>
                <w:rStyle w:val="fontstyle01"/>
              </w:rPr>
              <w:t>1260 μ and 1220 μ</w:t>
            </w:r>
            <w:r w:rsidR="00BE67AB">
              <w:rPr>
                <w:rStyle w:val="fontstyle01"/>
              </w:rPr>
              <w:t xml:space="preserve"> </w:t>
            </w:r>
            <w:r w:rsidR="00365019">
              <w:rPr>
                <w:rStyle w:val="fontstyle01"/>
              </w:rPr>
              <w:t>respectively.</w:t>
            </w:r>
          </w:p>
          <w:p w:rsidR="005A2D71" w:rsidRPr="00BE67AB" w:rsidRDefault="005A2D71" w:rsidP="00BE67A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480" w:lineRule="auto"/>
              <w:rPr>
                <w:rStyle w:val="ListParagraph"/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  <w:b/>
              </w:rPr>
              <w:t>Post Hoc Test</w:t>
            </w:r>
            <w:r w:rsidRPr="00BE67AB">
              <w:rPr>
                <w:rFonts w:ascii="Times New Roman" w:hAnsi="Times New Roman"/>
              </w:rPr>
              <w:t xml:space="preserve">: </w:t>
            </w:r>
            <w:r w:rsidR="00625798" w:rsidRPr="00BE67AB">
              <w:rPr>
                <w:rStyle w:val="ListParagraph"/>
                <w:rFonts w:ascii="Times New Roman" w:hAnsi="Times New Roman"/>
              </w:rPr>
              <w:t xml:space="preserve"> </w:t>
            </w:r>
            <w:r w:rsidR="00BE67AB">
              <w:rPr>
                <w:rStyle w:val="ListParagraph"/>
                <w:rFonts w:ascii="Times New Roman" w:hAnsi="Times New Roman"/>
              </w:rPr>
              <w:t>W</w:t>
            </w:r>
            <w:r w:rsidR="00625798" w:rsidRPr="00BE67AB">
              <w:rPr>
                <w:rStyle w:val="ListParagraph"/>
                <w:rFonts w:ascii="Times New Roman" w:hAnsi="Times New Roman"/>
              </w:rPr>
              <w:t xml:space="preserve">hen preparations are located in the enamel, then micro leakage is minimized. </w:t>
            </w:r>
          </w:p>
          <w:p w:rsidR="00BE67AB" w:rsidRPr="00BE67AB" w:rsidRDefault="00BE67AB" w:rsidP="00BE67A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lastRenderedPageBreak/>
              <w:t>Dentinal exposure is higher when the chamfer approach is used.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  <w:b/>
                <w:u w:val="single"/>
              </w:rPr>
              <w:t>Discussion:</w:t>
            </w:r>
          </w:p>
          <w:p w:rsidR="005A2D71" w:rsidRPr="00BE67AB" w:rsidRDefault="00625798" w:rsidP="00625798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>When</w:t>
            </w:r>
            <w:r w:rsidRPr="00BE67AB">
              <w:rPr>
                <w:rFonts w:ascii="Times New Roman" w:hAnsi="Times New Roman"/>
              </w:rPr>
              <w:t xml:space="preserve"> using the knife-edge preparation, it is essential that the serrated and overhanging prisms are </w:t>
            </w:r>
            <w:r w:rsidR="00BE67AB" w:rsidRPr="00BE67AB">
              <w:rPr>
                <w:rFonts w:ascii="Times New Roman" w:hAnsi="Times New Roman"/>
              </w:rPr>
              <w:t>first removed. Understanding the</w:t>
            </w:r>
            <w:r w:rsidRPr="00BE67AB">
              <w:rPr>
                <w:rFonts w:ascii="Times New Roman" w:hAnsi="Times New Roman"/>
              </w:rPr>
              <w:t xml:space="preserve"> enamel thickness in labial surfaces is critical and plays a key role in conserving the enamel. Also, enamel’s thickness does not allow for chamfer preparation to be carried out. Therefore, knife-edge preparation is essential and should be carried out in the gingival area. </w:t>
            </w:r>
          </w:p>
          <w:p w:rsidR="005A2D71" w:rsidRPr="00BE67AB" w:rsidRDefault="005A2D71" w:rsidP="00625798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u w:val="single"/>
              </w:rPr>
            </w:pPr>
            <w:r w:rsidRPr="00BE67AB">
              <w:rPr>
                <w:rFonts w:ascii="Times New Roman" w:hAnsi="Times New Roman"/>
                <w:b/>
                <w:u w:val="single"/>
              </w:rPr>
              <w:t>Conclusion (s):</w:t>
            </w:r>
          </w:p>
          <w:p w:rsidR="005A2D71" w:rsidRPr="00BE67AB" w:rsidRDefault="00625798" w:rsidP="006257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 xml:space="preserve">Knife-edge </w:t>
            </w:r>
            <w:r w:rsidR="00FF5B27" w:rsidRPr="00BE67AB">
              <w:rPr>
                <w:rFonts w:ascii="Times New Roman" w:hAnsi="Times New Roman"/>
              </w:rPr>
              <w:t>present no risks of dentin exposure as opposed to the chamfer preparation</w:t>
            </w:r>
            <w:r w:rsidRPr="00BE67AB">
              <w:rPr>
                <w:rFonts w:ascii="Times New Roman" w:hAnsi="Times New Roman"/>
              </w:rPr>
              <w:t>.</w:t>
            </w:r>
          </w:p>
          <w:p w:rsidR="00625798" w:rsidRPr="00BE67AB" w:rsidRDefault="00FF5B27" w:rsidP="006257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>It is critical to remove the serrated, overhanging prisms which is adequate for carrying out the procedure.</w:t>
            </w:r>
          </w:p>
          <w:p w:rsidR="00FF5B27" w:rsidRPr="00BE67AB" w:rsidRDefault="00FF5B27" w:rsidP="006257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>The gingival margin can be used as a guide in fabricating the laminate.</w:t>
            </w:r>
          </w:p>
          <w:p w:rsidR="00625798" w:rsidRPr="00BE67AB" w:rsidRDefault="00625798" w:rsidP="006257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</w:rPr>
            </w:pPr>
            <w:r w:rsidRPr="00BE67AB">
              <w:rPr>
                <w:rFonts w:ascii="Times New Roman" w:hAnsi="Times New Roman"/>
              </w:rPr>
              <w:t xml:space="preserve">Dentists should use the research as a guide when carrying out preparation for porcelain laminate. </w:t>
            </w:r>
          </w:p>
        </w:tc>
      </w:tr>
    </w:tbl>
    <w:p w:rsidR="005A2D71" w:rsidRPr="00BE67AB" w:rsidRDefault="005A2D71" w:rsidP="00625798">
      <w:pPr>
        <w:spacing w:line="480" w:lineRule="auto"/>
        <w:rPr>
          <w:rFonts w:ascii="Times New Roman" w:hAnsi="Times New Roman"/>
        </w:rPr>
      </w:pPr>
    </w:p>
    <w:p w:rsidR="00E550FD" w:rsidRPr="00BE67AB" w:rsidRDefault="00365019" w:rsidP="00625798">
      <w:pPr>
        <w:spacing w:line="480" w:lineRule="auto"/>
        <w:rPr>
          <w:rFonts w:ascii="Times New Roman" w:hAnsi="Times New Roman"/>
        </w:rPr>
      </w:pPr>
    </w:p>
    <w:sectPr w:rsidR="00E550FD" w:rsidRPr="00BE67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8CA"/>
    <w:multiLevelType w:val="hybridMultilevel"/>
    <w:tmpl w:val="C08A1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D4FFF"/>
    <w:multiLevelType w:val="hybridMultilevel"/>
    <w:tmpl w:val="6990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94824"/>
    <w:multiLevelType w:val="hybridMultilevel"/>
    <w:tmpl w:val="AEC08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16DE5"/>
    <w:multiLevelType w:val="hybridMultilevel"/>
    <w:tmpl w:val="71647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A4237"/>
    <w:multiLevelType w:val="hybridMultilevel"/>
    <w:tmpl w:val="15060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wNjM0MzAxsrAwsrRU0lEKTi0uzszPAykwrAUAd5mVaSwAAAA="/>
  </w:docVars>
  <w:rsids>
    <w:rsidRoot w:val="005A2D71"/>
    <w:rsid w:val="00365019"/>
    <w:rsid w:val="00586ACE"/>
    <w:rsid w:val="005A2D71"/>
    <w:rsid w:val="00625798"/>
    <w:rsid w:val="0095744C"/>
    <w:rsid w:val="00AC215F"/>
    <w:rsid w:val="00BE67AB"/>
    <w:rsid w:val="00FF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58D6B"/>
  <w15:chartTrackingRefBased/>
  <w15:docId w15:val="{29A9CCA9-316A-4414-89D3-98765A45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D71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2D7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A2D7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rsid w:val="006257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Maundu</dc:creator>
  <cp:keywords/>
  <dc:description/>
  <cp:lastModifiedBy>Raphael Maundu</cp:lastModifiedBy>
  <cp:revision>3</cp:revision>
  <dcterms:created xsi:type="dcterms:W3CDTF">2021-05-09T12:15:00Z</dcterms:created>
  <dcterms:modified xsi:type="dcterms:W3CDTF">2021-05-09T12:48:00Z</dcterms:modified>
</cp:coreProperties>
</file>