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5AE9" w:rsidRP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E9">
        <w:rPr>
          <w:rFonts w:ascii="Times New Roman" w:hAnsi="Times New Roman" w:cs="Times New Roman"/>
          <w:sz w:val="24"/>
          <w:szCs w:val="24"/>
        </w:rPr>
        <w:t>Summary Article One</w:t>
      </w:r>
    </w:p>
    <w:p w:rsidR="00E55AE9" w:rsidRP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E9">
        <w:rPr>
          <w:rFonts w:ascii="Times New Roman" w:hAnsi="Times New Roman" w:cs="Times New Roman"/>
          <w:sz w:val="24"/>
          <w:szCs w:val="24"/>
        </w:rPr>
        <w:t>Name</w:t>
      </w:r>
    </w:p>
    <w:p w:rsidR="00E55AE9" w:rsidRP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E9">
        <w:rPr>
          <w:rFonts w:ascii="Times New Roman" w:hAnsi="Times New Roman" w:cs="Times New Roman"/>
          <w:sz w:val="24"/>
          <w:szCs w:val="24"/>
        </w:rPr>
        <w:t>Institutional Affiliation</w:t>
      </w:r>
    </w:p>
    <w:p w:rsidR="00E55AE9" w:rsidRP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E9">
        <w:rPr>
          <w:rFonts w:ascii="Times New Roman" w:hAnsi="Times New Roman" w:cs="Times New Roman"/>
          <w:sz w:val="24"/>
          <w:szCs w:val="24"/>
        </w:rPr>
        <w:t>Date</w:t>
      </w:r>
    </w:p>
    <w:p w:rsidR="00E55AE9" w:rsidRDefault="00E55A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50FD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E9">
        <w:rPr>
          <w:rFonts w:ascii="Times New Roman" w:hAnsi="Times New Roman" w:cs="Times New Roman"/>
          <w:sz w:val="24"/>
          <w:szCs w:val="24"/>
        </w:rPr>
        <w:lastRenderedPageBreak/>
        <w:t xml:space="preserve">Enamel Thickness </w:t>
      </w:r>
      <w:r w:rsidR="001719C1" w:rsidRPr="00E55AE9">
        <w:rPr>
          <w:rFonts w:ascii="Times New Roman" w:hAnsi="Times New Roman" w:cs="Times New Roman"/>
          <w:sz w:val="24"/>
          <w:szCs w:val="24"/>
        </w:rPr>
        <w:t>after</w:t>
      </w:r>
      <w:r w:rsidRPr="00E55AE9">
        <w:rPr>
          <w:rFonts w:ascii="Times New Roman" w:hAnsi="Times New Roman" w:cs="Times New Roman"/>
          <w:sz w:val="24"/>
          <w:szCs w:val="24"/>
        </w:rPr>
        <w:t xml:space="preserve"> Preparation of Tooth </w:t>
      </w:r>
      <w:r w:rsidR="00AE55B2">
        <w:rPr>
          <w:rFonts w:ascii="Times New Roman" w:hAnsi="Times New Roman" w:cs="Times New Roman"/>
          <w:sz w:val="24"/>
          <w:szCs w:val="24"/>
        </w:rPr>
        <w:t>f</w:t>
      </w:r>
      <w:r w:rsidRPr="00E55AE9">
        <w:rPr>
          <w:rFonts w:ascii="Times New Roman" w:hAnsi="Times New Roman" w:cs="Times New Roman"/>
          <w:sz w:val="24"/>
          <w:szCs w:val="24"/>
        </w:rPr>
        <w:t>or Porcelain Laminate – Summary</w:t>
      </w:r>
    </w:p>
    <w:p w:rsidR="00E55AE9" w:rsidRDefault="00E55AE9" w:rsidP="00B971D4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this article, the authors sought to investigate </w:t>
      </w:r>
      <w:r w:rsidR="00AE55B2">
        <w:rPr>
          <w:rFonts w:ascii="Times New Roman" w:hAnsi="Times New Roman" w:cs="Times New Roman"/>
          <w:sz w:val="24"/>
          <w:szCs w:val="24"/>
        </w:rPr>
        <w:t xml:space="preserve">the thickness of </w:t>
      </w:r>
      <w:r w:rsidR="00C15942">
        <w:rPr>
          <w:rFonts w:ascii="Times New Roman" w:hAnsi="Times New Roman" w:cs="Times New Roman"/>
          <w:sz w:val="24"/>
          <w:szCs w:val="24"/>
        </w:rPr>
        <w:t>the enamel</w:t>
      </w:r>
      <w:r w:rsidR="00AE55B2">
        <w:rPr>
          <w:rFonts w:ascii="Times New Roman" w:hAnsi="Times New Roman" w:cs="Times New Roman"/>
          <w:sz w:val="24"/>
          <w:szCs w:val="24"/>
        </w:rPr>
        <w:t xml:space="preserve"> after </w:t>
      </w:r>
      <w:r w:rsidR="00C15942">
        <w:rPr>
          <w:rFonts w:ascii="Times New Roman" w:hAnsi="Times New Roman" w:cs="Times New Roman"/>
          <w:sz w:val="24"/>
          <w:szCs w:val="24"/>
        </w:rPr>
        <w:t xml:space="preserve">a </w:t>
      </w:r>
      <w:r w:rsidR="00AE55B2">
        <w:rPr>
          <w:rFonts w:ascii="Times New Roman" w:hAnsi="Times New Roman" w:cs="Times New Roman"/>
          <w:sz w:val="24"/>
          <w:szCs w:val="24"/>
        </w:rPr>
        <w:t>porcelain veneer was used for preparation</w:t>
      </w:r>
      <w:r>
        <w:rPr>
          <w:rFonts w:ascii="Times New Roman" w:hAnsi="Times New Roman" w:cs="Times New Roman"/>
          <w:sz w:val="24"/>
          <w:szCs w:val="24"/>
        </w:rPr>
        <w:t>. The approach has been</w:t>
      </w:r>
      <w:r w:rsidR="00AE55B2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use for a very long time and is an established method widely accepted by professionals in the field. Although some professionals believe that preparation </w:t>
      </w:r>
      <w:r w:rsidR="00AE55B2">
        <w:rPr>
          <w:rFonts w:ascii="Times New Roman" w:hAnsi="Times New Roman" w:cs="Times New Roman"/>
          <w:sz w:val="24"/>
          <w:szCs w:val="24"/>
        </w:rPr>
        <w:t>is not a necessary process, the article iterates on its importance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5B2">
        <w:rPr>
          <w:rFonts w:ascii="Times New Roman" w:hAnsi="Times New Roman" w:cs="Times New Roman"/>
          <w:sz w:val="24"/>
          <w:szCs w:val="24"/>
        </w:rPr>
        <w:t>by stating</w:t>
      </w:r>
      <w:r>
        <w:rPr>
          <w:rFonts w:ascii="Times New Roman" w:hAnsi="Times New Roman" w:cs="Times New Roman"/>
          <w:sz w:val="24"/>
          <w:szCs w:val="24"/>
        </w:rPr>
        <w:t xml:space="preserve"> that the approach is critical </w:t>
      </w:r>
      <w:r w:rsidR="00AE55B2">
        <w:rPr>
          <w:rFonts w:ascii="Times New Roman" w:hAnsi="Times New Roman" w:cs="Times New Roman"/>
          <w:sz w:val="24"/>
          <w:szCs w:val="24"/>
        </w:rPr>
        <w:t>and must be carried out in the enamel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736C">
        <w:rPr>
          <w:rFonts w:ascii="Times New Roman" w:hAnsi="Times New Roman" w:cs="Times New Roman"/>
          <w:sz w:val="24"/>
          <w:szCs w:val="24"/>
        </w:rPr>
        <w:t xml:space="preserve"> </w:t>
      </w:r>
      <w:r w:rsidR="00B971D4">
        <w:rPr>
          <w:rFonts w:ascii="Times New Roman" w:hAnsi="Times New Roman" w:cs="Times New Roman"/>
          <w:sz w:val="24"/>
          <w:szCs w:val="24"/>
        </w:rPr>
        <w:t>De</w:t>
      </w:r>
      <w:r w:rsidR="008B736C">
        <w:rPr>
          <w:rFonts w:ascii="Times New Roman" w:hAnsi="Times New Roman" w:cs="Times New Roman"/>
          <w:sz w:val="24"/>
          <w:szCs w:val="24"/>
        </w:rPr>
        <w:t>ntists can</w:t>
      </w:r>
      <w:r w:rsidR="00B971D4">
        <w:rPr>
          <w:rFonts w:ascii="Times New Roman" w:hAnsi="Times New Roman" w:cs="Times New Roman"/>
          <w:sz w:val="24"/>
          <w:szCs w:val="24"/>
        </w:rPr>
        <w:t xml:space="preserve"> either</w:t>
      </w:r>
      <w:r w:rsidR="008B736C">
        <w:rPr>
          <w:rFonts w:ascii="Times New Roman" w:hAnsi="Times New Roman" w:cs="Times New Roman"/>
          <w:sz w:val="24"/>
          <w:szCs w:val="24"/>
        </w:rPr>
        <w:t xml:space="preserve"> use a conservative or radical approach. By investigating how the thickness in </w:t>
      </w:r>
      <w:r w:rsidR="00C15942">
        <w:rPr>
          <w:rFonts w:ascii="Times New Roman" w:hAnsi="Times New Roman" w:cs="Times New Roman"/>
          <w:sz w:val="24"/>
          <w:szCs w:val="24"/>
        </w:rPr>
        <w:t xml:space="preserve">the </w:t>
      </w:r>
      <w:r w:rsidR="008B736C">
        <w:rPr>
          <w:rFonts w:ascii="Times New Roman" w:hAnsi="Times New Roman" w:cs="Times New Roman"/>
          <w:sz w:val="24"/>
          <w:szCs w:val="24"/>
        </w:rPr>
        <w:t xml:space="preserve">labial surface affects preparation for </w:t>
      </w:r>
      <w:r w:rsidR="001719C1">
        <w:rPr>
          <w:rFonts w:ascii="Times New Roman" w:hAnsi="Times New Roman" w:cs="Times New Roman"/>
          <w:sz w:val="24"/>
          <w:szCs w:val="24"/>
        </w:rPr>
        <w:t xml:space="preserve">the </w:t>
      </w:r>
      <w:r w:rsidR="008B736C">
        <w:rPr>
          <w:rFonts w:ascii="Times New Roman" w:hAnsi="Times New Roman" w:cs="Times New Roman"/>
          <w:sz w:val="24"/>
          <w:szCs w:val="24"/>
        </w:rPr>
        <w:t>procedure</w:t>
      </w:r>
      <w:r w:rsidR="00B971D4">
        <w:rPr>
          <w:rFonts w:ascii="Times New Roman" w:hAnsi="Times New Roman" w:cs="Times New Roman"/>
          <w:sz w:val="24"/>
          <w:szCs w:val="24"/>
        </w:rPr>
        <w:t>, the procedure can be carried out effectively and have major benefits</w:t>
      </w:r>
      <w:r w:rsidR="008B73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5B2" w:rsidRDefault="001719C1" w:rsidP="00AE55B2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determine this, the researchers </w:t>
      </w:r>
      <w:r w:rsidR="00C15942">
        <w:rPr>
          <w:rFonts w:ascii="Times New Roman" w:hAnsi="Times New Roman" w:cs="Times New Roman"/>
          <w:sz w:val="24"/>
          <w:szCs w:val="24"/>
        </w:rPr>
        <w:t>investigated the approach in</w:t>
      </w:r>
      <w:r>
        <w:rPr>
          <w:rFonts w:ascii="Times New Roman" w:hAnsi="Times New Roman" w:cs="Times New Roman"/>
          <w:sz w:val="24"/>
          <w:szCs w:val="24"/>
        </w:rPr>
        <w:t xml:space="preserve"> two phases. In the first part of the experiment, 20 maxillary central and lateral incisors were extracted with each representing 10 of the sample.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Autopolimerize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acrylic resin was then used to imbed the samples followed by a cross-section through the incisal, middle of the labial surface. The samples were then observed with the researchers recording the thickness of </w:t>
      </w:r>
      <w:r w:rsidR="00B971D4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enamel. In</w:t>
      </w:r>
      <w:r w:rsidR="00B971D4">
        <w:rPr>
          <w:rFonts w:ascii="Times New Roman" w:hAnsi="Times New Roman" w:cs="Times New Roman"/>
          <w:sz w:val="24"/>
          <w:szCs w:val="24"/>
        </w:rPr>
        <w:t xml:space="preserve"> the second phase, </w:t>
      </w:r>
      <w:r>
        <w:rPr>
          <w:rFonts w:ascii="Times New Roman" w:hAnsi="Times New Roman" w:cs="Times New Roman"/>
          <w:sz w:val="24"/>
          <w:szCs w:val="24"/>
        </w:rPr>
        <w:t>different methods</w:t>
      </w:r>
      <w:r w:rsidR="00B971D4">
        <w:rPr>
          <w:rFonts w:ascii="Times New Roman" w:hAnsi="Times New Roman" w:cs="Times New Roman"/>
          <w:sz w:val="24"/>
          <w:szCs w:val="24"/>
        </w:rPr>
        <w:t xml:space="preserve"> were</w:t>
      </w:r>
      <w:r>
        <w:rPr>
          <w:rFonts w:ascii="Times New Roman" w:hAnsi="Times New Roman" w:cs="Times New Roman"/>
          <w:sz w:val="24"/>
          <w:szCs w:val="24"/>
        </w:rPr>
        <w:t xml:space="preserve"> used for preparation </w:t>
      </w:r>
      <w:r w:rsidR="00B971D4">
        <w:rPr>
          <w:rFonts w:ascii="Times New Roman" w:hAnsi="Times New Roman" w:cs="Times New Roman"/>
          <w:sz w:val="24"/>
          <w:szCs w:val="24"/>
        </w:rPr>
        <w:t>and evaluated with 30 more samples. The study employed</w:t>
      </w:r>
      <w:r>
        <w:rPr>
          <w:rFonts w:ascii="Times New Roman" w:hAnsi="Times New Roman" w:cs="Times New Roman"/>
          <w:sz w:val="24"/>
          <w:szCs w:val="24"/>
        </w:rPr>
        <w:t xml:space="preserve"> two methods which included knife-edge preparation and chamfer preparation. To determine </w:t>
      </w:r>
      <w:r w:rsidR="004B02CC">
        <w:rPr>
          <w:rFonts w:ascii="Times New Roman" w:hAnsi="Times New Roman" w:cs="Times New Roman"/>
          <w:sz w:val="24"/>
          <w:szCs w:val="24"/>
        </w:rPr>
        <w:t>their effectiveness</w:t>
      </w:r>
      <w:r>
        <w:rPr>
          <w:rFonts w:ascii="Times New Roman" w:hAnsi="Times New Roman" w:cs="Times New Roman"/>
          <w:sz w:val="24"/>
          <w:szCs w:val="24"/>
        </w:rPr>
        <w:t xml:space="preserve">, ANOVA-one way test was used to analyze the resulting data. </w:t>
      </w:r>
      <w:r w:rsidR="00AE55B2">
        <w:rPr>
          <w:rFonts w:ascii="Times New Roman" w:hAnsi="Times New Roman" w:cs="Times New Roman"/>
          <w:sz w:val="24"/>
          <w:szCs w:val="24"/>
        </w:rPr>
        <w:t xml:space="preserve">Based on the analysis, the thickness of the enamel was 345 for the central incisor </w:t>
      </w:r>
      <w:r w:rsidR="00457630">
        <w:rPr>
          <w:rFonts w:ascii="Times New Roman" w:hAnsi="Times New Roman" w:cs="Times New Roman"/>
          <w:sz w:val="24"/>
          <w:szCs w:val="24"/>
        </w:rPr>
        <w:t>as</w:t>
      </w:r>
      <w:r w:rsidR="00AE55B2">
        <w:rPr>
          <w:rFonts w:ascii="Times New Roman" w:hAnsi="Times New Roman" w:cs="Times New Roman"/>
          <w:sz w:val="24"/>
          <w:szCs w:val="24"/>
        </w:rPr>
        <w:t xml:space="preserve"> compared to 325 for the lateral incisor</w:t>
      </w:r>
      <w:r>
        <w:rPr>
          <w:rFonts w:ascii="Times New Roman" w:hAnsi="Times New Roman" w:cs="Times New Roman"/>
          <w:sz w:val="24"/>
          <w:szCs w:val="24"/>
        </w:rPr>
        <w:t xml:space="preserve">. Moreover, </w:t>
      </w:r>
      <w:r w:rsidR="00AE55B2">
        <w:rPr>
          <w:rFonts w:ascii="Times New Roman" w:hAnsi="Times New Roman" w:cs="Times New Roman"/>
          <w:sz w:val="24"/>
          <w:szCs w:val="24"/>
        </w:rPr>
        <w:t>there was dentinal exposure when the knife-edge preparation was used but no exposure was found after using the Chamfer preparation.</w:t>
      </w:r>
    </w:p>
    <w:p w:rsidR="00484F8A" w:rsidRDefault="00484F8A" w:rsidP="004B02C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conclusion, </w:t>
      </w:r>
      <w:r w:rsidR="004B02CC">
        <w:rPr>
          <w:rFonts w:ascii="Times New Roman" w:hAnsi="Times New Roman" w:cs="Times New Roman"/>
          <w:sz w:val="24"/>
          <w:szCs w:val="24"/>
        </w:rPr>
        <w:t>when using the</w:t>
      </w:r>
      <w:r>
        <w:rPr>
          <w:rFonts w:ascii="Times New Roman" w:hAnsi="Times New Roman" w:cs="Times New Roman"/>
          <w:sz w:val="24"/>
          <w:szCs w:val="24"/>
        </w:rPr>
        <w:t xml:space="preserve"> knife-edge preparation, it is essential that the serrated and overhanging prisms are first removed. Understanding how enamel thickness in labial surfaces is critical and plays a key role in conserving the enamel. Also, enamel’s thickness does not allow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for chamfer preparation to be carried out. Therefore, knife-edge preparation is essential and should be carried out in the gingival area. Ultimately, the authors recommend that the study be used </w:t>
      </w:r>
      <w:r w:rsidR="004B02CC">
        <w:rPr>
          <w:rFonts w:ascii="Times New Roman" w:hAnsi="Times New Roman" w:cs="Times New Roman"/>
          <w:sz w:val="24"/>
          <w:szCs w:val="24"/>
        </w:rPr>
        <w:t>as a</w:t>
      </w:r>
      <w:r>
        <w:rPr>
          <w:rFonts w:ascii="Times New Roman" w:hAnsi="Times New Roman" w:cs="Times New Roman"/>
          <w:sz w:val="24"/>
          <w:szCs w:val="24"/>
        </w:rPr>
        <w:t xml:space="preserve"> guide when carrying out preparation for porcelain laminate. </w:t>
      </w:r>
      <w:bookmarkStart w:id="0" w:name="_GoBack"/>
      <w:bookmarkEnd w:id="0"/>
    </w:p>
    <w:p w:rsidR="00B5657F" w:rsidRDefault="00B565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5657F" w:rsidRDefault="00B5657F" w:rsidP="00B5657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References</w:t>
      </w:r>
    </w:p>
    <w:p w:rsidR="00B5657F" w:rsidRPr="00E55AE9" w:rsidRDefault="00B5657F" w:rsidP="00B5657F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B5657F">
        <w:rPr>
          <w:rFonts w:ascii="Times New Roman" w:hAnsi="Times New Roman" w:cs="Times New Roman"/>
          <w:sz w:val="24"/>
          <w:szCs w:val="24"/>
        </w:rPr>
        <w:t>Pahlevan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Mirzaee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Yassine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E.,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Omrany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L.R.,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Tabatabaee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M.H., Kermanshah, H.,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Arami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S. and </w:t>
      </w:r>
      <w:proofErr w:type="spellStart"/>
      <w:r w:rsidRPr="00B5657F">
        <w:rPr>
          <w:rFonts w:ascii="Times New Roman" w:hAnsi="Times New Roman" w:cs="Times New Roman"/>
          <w:sz w:val="24"/>
          <w:szCs w:val="24"/>
        </w:rPr>
        <w:t>Abbasi</w:t>
      </w:r>
      <w:proofErr w:type="spellEnd"/>
      <w:r w:rsidRPr="00B5657F">
        <w:rPr>
          <w:rFonts w:ascii="Times New Roman" w:hAnsi="Times New Roman" w:cs="Times New Roman"/>
          <w:sz w:val="24"/>
          <w:szCs w:val="24"/>
        </w:rPr>
        <w:t xml:space="preserve">, M.,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5657F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5657F">
        <w:rPr>
          <w:rFonts w:ascii="Times New Roman" w:hAnsi="Times New Roman" w:cs="Times New Roman"/>
          <w:sz w:val="24"/>
          <w:szCs w:val="24"/>
        </w:rPr>
        <w:t>. Enamel thickness after preparation of tooth for porcelain laminate. Journal of Dentistry (Tehran, Iran), 11(4), p.428.</w:t>
      </w:r>
    </w:p>
    <w:p w:rsidR="00E55AE9" w:rsidRPr="00E55AE9" w:rsidRDefault="00E55AE9" w:rsidP="00E55A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5AE9" w:rsidRPr="00E55AE9" w:rsidSect="00E55AE9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061" w:rsidRDefault="00674061" w:rsidP="00E55AE9">
      <w:pPr>
        <w:spacing w:after="0" w:line="240" w:lineRule="auto"/>
      </w:pPr>
      <w:r>
        <w:separator/>
      </w:r>
    </w:p>
  </w:endnote>
  <w:endnote w:type="continuationSeparator" w:id="0">
    <w:p w:rsidR="00674061" w:rsidRDefault="00674061" w:rsidP="00E5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061" w:rsidRDefault="00674061" w:rsidP="00E55AE9">
      <w:pPr>
        <w:spacing w:after="0" w:line="240" w:lineRule="auto"/>
      </w:pPr>
      <w:r>
        <w:separator/>
      </w:r>
    </w:p>
  </w:footnote>
  <w:footnote w:type="continuationSeparator" w:id="0">
    <w:p w:rsidR="00674061" w:rsidRDefault="00674061" w:rsidP="00E5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AE9" w:rsidRPr="00E55AE9" w:rsidRDefault="00E55AE9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E55AE9">
      <w:rPr>
        <w:rFonts w:ascii="Times New Roman" w:hAnsi="Times New Roman" w:cs="Times New Roman"/>
        <w:sz w:val="24"/>
        <w:szCs w:val="24"/>
      </w:rPr>
      <w:t>SUMMARY</w:t>
    </w:r>
    <w:r w:rsidRPr="00E55AE9">
      <w:rPr>
        <w:rFonts w:ascii="Times New Roman" w:hAnsi="Times New Roman" w:cs="Times New Roman"/>
        <w:sz w:val="24"/>
        <w:szCs w:val="24"/>
      </w:rPr>
      <w:tab/>
    </w:r>
    <w:r w:rsidRPr="00E55AE9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-177786408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55A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5A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55A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594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55A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E55AE9" w:rsidRPr="00E55AE9" w:rsidRDefault="00E55AE9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AE9" w:rsidRPr="00E55AE9" w:rsidRDefault="00E55AE9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E55AE9">
      <w:rPr>
        <w:rFonts w:ascii="Times New Roman" w:hAnsi="Times New Roman" w:cs="Times New Roman"/>
        <w:sz w:val="24"/>
        <w:szCs w:val="24"/>
      </w:rPr>
      <w:t>Running Head: SUMMARY ARTICLE</w:t>
    </w:r>
    <w:r w:rsidRPr="00E55AE9">
      <w:rPr>
        <w:rFonts w:ascii="Times New Roman" w:hAnsi="Times New Roman" w:cs="Times New Roman"/>
        <w:sz w:val="24"/>
        <w:szCs w:val="24"/>
      </w:rPr>
      <w:tab/>
    </w:r>
    <w:r w:rsidRPr="00E55AE9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97147784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55A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5A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55A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594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55A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E55AE9" w:rsidRPr="00E55AE9" w:rsidRDefault="00E55AE9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wMjc0sTCwNDYwNTFX0lEKTi0uzszPAykwrAUACq4m/ywAAAA="/>
  </w:docVars>
  <w:rsids>
    <w:rsidRoot w:val="00E55AE9"/>
    <w:rsid w:val="001719C1"/>
    <w:rsid w:val="0030751C"/>
    <w:rsid w:val="00457630"/>
    <w:rsid w:val="00484F8A"/>
    <w:rsid w:val="004B02CC"/>
    <w:rsid w:val="005D6C4A"/>
    <w:rsid w:val="00674061"/>
    <w:rsid w:val="00741E25"/>
    <w:rsid w:val="007B619C"/>
    <w:rsid w:val="008B736C"/>
    <w:rsid w:val="0095744C"/>
    <w:rsid w:val="00AC215F"/>
    <w:rsid w:val="00AE55B2"/>
    <w:rsid w:val="00B5657F"/>
    <w:rsid w:val="00B971D4"/>
    <w:rsid w:val="00C15942"/>
    <w:rsid w:val="00E5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5C743"/>
  <w15:chartTrackingRefBased/>
  <w15:docId w15:val="{58C02FCF-AADD-4547-B5BC-2FAFA0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AE9"/>
  </w:style>
  <w:style w:type="paragraph" w:styleId="Footer">
    <w:name w:val="footer"/>
    <w:basedOn w:val="Normal"/>
    <w:link w:val="FooterChar"/>
    <w:uiPriority w:val="99"/>
    <w:unhideWhenUsed/>
    <w:rsid w:val="00E55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Maundu</dc:creator>
  <cp:keywords/>
  <dc:description/>
  <cp:lastModifiedBy>Raphael Maundu</cp:lastModifiedBy>
  <cp:revision>11</cp:revision>
  <dcterms:created xsi:type="dcterms:W3CDTF">2021-05-09T09:45:00Z</dcterms:created>
  <dcterms:modified xsi:type="dcterms:W3CDTF">2021-05-09T12:12:00Z</dcterms:modified>
</cp:coreProperties>
</file>